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299" w:rsidRPr="00254EA3" w:rsidRDefault="00436299" w:rsidP="00436299">
      <w:pPr>
        <w:tabs>
          <w:tab w:val="center" w:pos="4680"/>
        </w:tabs>
        <w:suppressAutoHyphens/>
        <w:spacing w:before="180" w:line="240" w:lineRule="auto"/>
        <w:ind w:hanging="572"/>
        <w:jc w:val="center"/>
        <w:outlineLvl w:val="0"/>
        <w:rPr>
          <w:b/>
          <w:spacing w:val="-3"/>
          <w:sz w:val="18"/>
          <w:szCs w:val="18"/>
        </w:rPr>
      </w:pPr>
      <w:r w:rsidRPr="00254EA3">
        <w:rPr>
          <w:b/>
          <w:spacing w:val="-3"/>
          <w:sz w:val="18"/>
          <w:szCs w:val="18"/>
        </w:rPr>
        <w:t>REPUBLIQUE TUNISIENNE</w:t>
      </w:r>
    </w:p>
    <w:p w:rsidR="00436299" w:rsidRDefault="00436299" w:rsidP="00436299">
      <w:pPr>
        <w:tabs>
          <w:tab w:val="center" w:pos="4680"/>
        </w:tabs>
        <w:suppressAutoHyphens/>
        <w:spacing w:before="180" w:after="0" w:line="240" w:lineRule="auto"/>
        <w:jc w:val="center"/>
        <w:rPr>
          <w:b/>
          <w:spacing w:val="-3"/>
          <w:sz w:val="18"/>
          <w:szCs w:val="18"/>
        </w:rPr>
      </w:pPr>
      <w:r w:rsidRPr="00254EA3">
        <w:rPr>
          <w:b/>
          <w:spacing w:val="-3"/>
          <w:sz w:val="18"/>
          <w:szCs w:val="18"/>
        </w:rPr>
        <w:t xml:space="preserve">MINISTERE DE  L’EQUIPEMENT, DE </w:t>
      </w:r>
      <w:r>
        <w:rPr>
          <w:b/>
          <w:spacing w:val="-3"/>
          <w:sz w:val="18"/>
          <w:szCs w:val="18"/>
        </w:rPr>
        <w:t xml:space="preserve">L’HABITAT </w:t>
      </w:r>
    </w:p>
    <w:p w:rsidR="00436299" w:rsidRPr="00254EA3" w:rsidRDefault="00436299" w:rsidP="00436299">
      <w:pPr>
        <w:tabs>
          <w:tab w:val="center" w:pos="4680"/>
        </w:tabs>
        <w:suppressAutoHyphens/>
        <w:spacing w:before="180" w:after="0" w:line="240" w:lineRule="auto"/>
        <w:jc w:val="center"/>
        <w:rPr>
          <w:b/>
          <w:spacing w:val="-3"/>
          <w:sz w:val="18"/>
          <w:szCs w:val="18"/>
        </w:rPr>
      </w:pPr>
      <w:r>
        <w:rPr>
          <w:b/>
          <w:spacing w:val="-3"/>
          <w:sz w:val="18"/>
          <w:szCs w:val="18"/>
        </w:rPr>
        <w:t xml:space="preserve">ET DE </w:t>
      </w:r>
      <w:r w:rsidRPr="00254EA3">
        <w:rPr>
          <w:b/>
          <w:spacing w:val="-3"/>
          <w:sz w:val="18"/>
          <w:szCs w:val="18"/>
        </w:rPr>
        <w:t xml:space="preserve">L’AMENAGEMENT DU TERRITOIRE </w:t>
      </w:r>
    </w:p>
    <w:p w:rsidR="00436299" w:rsidRPr="00254EA3" w:rsidRDefault="00436299" w:rsidP="00436299">
      <w:pPr>
        <w:pStyle w:val="Titre1"/>
        <w:spacing w:before="180" w:line="240" w:lineRule="auto"/>
        <w:jc w:val="center"/>
        <w:rPr>
          <w:b/>
          <w:bCs/>
          <w:smallCaps/>
          <w:sz w:val="18"/>
          <w:szCs w:val="18"/>
        </w:rPr>
      </w:pPr>
      <w:r w:rsidRPr="00254EA3">
        <w:rPr>
          <w:b/>
          <w:bCs/>
          <w:smallCaps/>
          <w:sz w:val="18"/>
          <w:szCs w:val="18"/>
        </w:rPr>
        <w:t>Direction Générale des Ponts et Chaussées</w:t>
      </w:r>
    </w:p>
    <w:p w:rsidR="00436299" w:rsidRPr="00254EA3" w:rsidRDefault="00436299" w:rsidP="00436299">
      <w:pPr>
        <w:pStyle w:val="Titre1"/>
        <w:spacing w:before="160" w:line="240" w:lineRule="auto"/>
        <w:jc w:val="center"/>
        <w:rPr>
          <w:b/>
          <w:bCs/>
          <w:sz w:val="18"/>
          <w:szCs w:val="18"/>
        </w:rPr>
      </w:pPr>
      <w:r w:rsidRPr="00254EA3">
        <w:rPr>
          <w:b/>
          <w:bCs/>
          <w:sz w:val="18"/>
          <w:szCs w:val="18"/>
        </w:rPr>
        <w:t>Avis d'Appel d'Offres International</w:t>
      </w:r>
    </w:p>
    <w:p w:rsidR="00436299" w:rsidRPr="00254EA3" w:rsidRDefault="00436299" w:rsidP="00436299">
      <w:pPr>
        <w:spacing w:before="160" w:line="240" w:lineRule="auto"/>
        <w:jc w:val="center"/>
        <w:rPr>
          <w:b/>
          <w:bCs/>
          <w:sz w:val="20"/>
          <w:szCs w:val="20"/>
        </w:rPr>
      </w:pPr>
      <w:r w:rsidRPr="00254EA3">
        <w:rPr>
          <w:b/>
          <w:bCs/>
          <w:sz w:val="20"/>
          <w:szCs w:val="20"/>
        </w:rPr>
        <w:t xml:space="preserve">Travaux de construction de </w:t>
      </w:r>
      <w:r>
        <w:rPr>
          <w:b/>
          <w:bCs/>
          <w:sz w:val="20"/>
          <w:szCs w:val="20"/>
        </w:rPr>
        <w:t>L’é</w:t>
      </w:r>
      <w:r w:rsidRPr="00254EA3">
        <w:rPr>
          <w:b/>
          <w:bCs/>
          <w:sz w:val="20"/>
          <w:szCs w:val="20"/>
        </w:rPr>
        <w:t>changeur</w:t>
      </w:r>
      <w:r>
        <w:rPr>
          <w:b/>
          <w:bCs/>
          <w:sz w:val="20"/>
          <w:szCs w:val="20"/>
        </w:rPr>
        <w:t xml:space="preserve"> </w:t>
      </w:r>
      <w:proofErr w:type="spellStart"/>
      <w:r>
        <w:rPr>
          <w:b/>
          <w:bCs/>
          <w:sz w:val="20"/>
          <w:szCs w:val="20"/>
        </w:rPr>
        <w:t>Ezzouhour</w:t>
      </w:r>
      <w:proofErr w:type="spellEnd"/>
      <w:r>
        <w:rPr>
          <w:b/>
          <w:bCs/>
          <w:sz w:val="20"/>
          <w:szCs w:val="20"/>
        </w:rPr>
        <w:t xml:space="preserve"> X- RVE539</w:t>
      </w:r>
      <w:r w:rsidRPr="00254EA3">
        <w:rPr>
          <w:b/>
          <w:bCs/>
          <w:sz w:val="20"/>
          <w:szCs w:val="20"/>
        </w:rPr>
        <w:t xml:space="preserve"> </w:t>
      </w:r>
    </w:p>
    <w:p w:rsidR="00436299" w:rsidRPr="00254EA3" w:rsidRDefault="00436299" w:rsidP="00436299">
      <w:pPr>
        <w:spacing w:before="160" w:line="240" w:lineRule="auto"/>
        <w:jc w:val="center"/>
        <w:rPr>
          <w:b/>
          <w:bCs/>
          <w:sz w:val="20"/>
          <w:szCs w:val="20"/>
        </w:rPr>
      </w:pPr>
      <w:proofErr w:type="gramStart"/>
      <w:r w:rsidRPr="00254EA3">
        <w:rPr>
          <w:b/>
          <w:bCs/>
          <w:sz w:val="20"/>
          <w:szCs w:val="20"/>
        </w:rPr>
        <w:t>dans</w:t>
      </w:r>
      <w:proofErr w:type="gramEnd"/>
      <w:r w:rsidRPr="00254EA3">
        <w:rPr>
          <w:b/>
          <w:bCs/>
          <w:sz w:val="20"/>
          <w:szCs w:val="20"/>
        </w:rPr>
        <w:t xml:space="preserve"> le Gouvernorat de </w:t>
      </w:r>
      <w:r>
        <w:rPr>
          <w:b/>
          <w:bCs/>
          <w:sz w:val="20"/>
          <w:szCs w:val="20"/>
        </w:rPr>
        <w:t>Tunis</w:t>
      </w:r>
    </w:p>
    <w:p w:rsidR="00436299" w:rsidRPr="00470B06" w:rsidRDefault="00436299" w:rsidP="003857D4">
      <w:pPr>
        <w:pStyle w:val="Titre2"/>
        <w:tabs>
          <w:tab w:val="left" w:pos="1905"/>
          <w:tab w:val="left" w:pos="2127"/>
          <w:tab w:val="left" w:pos="2836"/>
          <w:tab w:val="left" w:pos="3545"/>
          <w:tab w:val="left" w:pos="4254"/>
          <w:tab w:val="left" w:pos="4963"/>
          <w:tab w:val="left" w:pos="5672"/>
          <w:tab w:val="left" w:pos="6399"/>
        </w:tabs>
        <w:spacing w:before="160" w:line="240" w:lineRule="auto"/>
        <w:rPr>
          <w:rFonts w:ascii="Times New Roman" w:hAnsi="Times New Roman"/>
          <w:i w:val="0"/>
          <w:iCs w:val="0"/>
          <w:sz w:val="22"/>
          <w:szCs w:val="22"/>
        </w:rPr>
      </w:pPr>
      <w:r w:rsidRPr="00470B06">
        <w:rPr>
          <w:rFonts w:ascii="Times New Roman" w:hAnsi="Times New Roman"/>
          <w:sz w:val="22"/>
          <w:szCs w:val="22"/>
        </w:rPr>
        <w:tab/>
      </w:r>
      <w:r w:rsidRPr="00470B06">
        <w:rPr>
          <w:rFonts w:ascii="Times New Roman" w:hAnsi="Times New Roman"/>
          <w:sz w:val="22"/>
          <w:szCs w:val="22"/>
        </w:rPr>
        <w:tab/>
      </w:r>
      <w:r>
        <w:rPr>
          <w:rFonts w:ascii="Times New Roman" w:hAnsi="Times New Roman"/>
          <w:sz w:val="22"/>
          <w:szCs w:val="22"/>
        </w:rPr>
        <w:tab/>
      </w:r>
      <w:r w:rsidRPr="00470B06">
        <w:rPr>
          <w:rFonts w:ascii="Times New Roman" w:hAnsi="Times New Roman"/>
          <w:sz w:val="22"/>
          <w:szCs w:val="22"/>
        </w:rPr>
        <w:tab/>
      </w:r>
      <w:r w:rsidRPr="00470B06">
        <w:rPr>
          <w:rFonts w:ascii="Times New Roman" w:hAnsi="Times New Roman"/>
          <w:i w:val="0"/>
          <w:iCs w:val="0"/>
          <w:sz w:val="22"/>
          <w:szCs w:val="22"/>
        </w:rPr>
        <w:t>Date de l’avis :</w:t>
      </w:r>
      <w:r>
        <w:rPr>
          <w:rFonts w:ascii="Times New Roman" w:hAnsi="Times New Roman"/>
          <w:i w:val="0"/>
          <w:iCs w:val="0"/>
          <w:sz w:val="22"/>
          <w:szCs w:val="22"/>
        </w:rPr>
        <w:t xml:space="preserve"> </w:t>
      </w:r>
      <w:r w:rsidR="003857D4">
        <w:rPr>
          <w:rFonts w:ascii="Times New Roman" w:hAnsi="Times New Roman"/>
          <w:i w:val="0"/>
          <w:iCs w:val="0"/>
          <w:sz w:val="22"/>
          <w:szCs w:val="22"/>
        </w:rPr>
        <w:t>10</w:t>
      </w:r>
      <w:r>
        <w:rPr>
          <w:rFonts w:ascii="Times New Roman" w:hAnsi="Times New Roman"/>
          <w:i w:val="0"/>
          <w:iCs w:val="0"/>
          <w:sz w:val="22"/>
          <w:szCs w:val="22"/>
        </w:rPr>
        <w:t>/03/2015</w:t>
      </w:r>
      <w:r>
        <w:rPr>
          <w:rFonts w:ascii="Times New Roman" w:hAnsi="Times New Roman"/>
          <w:i w:val="0"/>
          <w:iCs w:val="0"/>
          <w:sz w:val="22"/>
          <w:szCs w:val="22"/>
        </w:rPr>
        <w:tab/>
      </w:r>
    </w:p>
    <w:p w:rsidR="00436299" w:rsidRDefault="00436299" w:rsidP="00436299">
      <w:pPr>
        <w:pStyle w:val="Titre2"/>
        <w:tabs>
          <w:tab w:val="left" w:pos="1905"/>
        </w:tabs>
        <w:spacing w:before="160" w:line="240" w:lineRule="auto"/>
        <w:jc w:val="center"/>
        <w:rPr>
          <w:rFonts w:ascii="Times New Roman" w:hAnsi="Times New Roman"/>
          <w:i w:val="0"/>
          <w:iCs w:val="0"/>
          <w:sz w:val="22"/>
          <w:szCs w:val="22"/>
        </w:rPr>
      </w:pPr>
      <w:r>
        <w:rPr>
          <w:rFonts w:ascii="Times New Roman" w:hAnsi="Times New Roman"/>
          <w:i w:val="0"/>
          <w:iCs w:val="0"/>
          <w:sz w:val="22"/>
          <w:szCs w:val="22"/>
        </w:rPr>
        <w:t>AOI n°</w:t>
      </w:r>
      <w:r w:rsidRPr="00470B06">
        <w:rPr>
          <w:rFonts w:ascii="Times New Roman" w:hAnsi="Times New Roman" w:hint="cs"/>
          <w:i w:val="0"/>
          <w:iCs w:val="0"/>
          <w:sz w:val="22"/>
          <w:szCs w:val="22"/>
          <w:rtl/>
        </w:rPr>
        <w:t xml:space="preserve"> </w:t>
      </w:r>
      <w:r w:rsidRPr="00470B06">
        <w:rPr>
          <w:rFonts w:ascii="Times New Roman" w:hAnsi="Times New Roman"/>
          <w:i w:val="0"/>
          <w:iCs w:val="0"/>
          <w:sz w:val="22"/>
          <w:szCs w:val="22"/>
        </w:rPr>
        <w:t xml:space="preserve">: </w:t>
      </w:r>
      <w:r>
        <w:rPr>
          <w:rFonts w:ascii="Times New Roman" w:hAnsi="Times New Roman"/>
          <w:i w:val="0"/>
          <w:iCs w:val="0"/>
          <w:sz w:val="22"/>
          <w:szCs w:val="22"/>
        </w:rPr>
        <w:t>01/</w:t>
      </w:r>
      <w:r>
        <w:rPr>
          <w:rFonts w:ascii="Times New Roman" w:hAnsi="Times New Roman" w:hint="cs"/>
          <w:i w:val="0"/>
          <w:iCs w:val="0"/>
          <w:sz w:val="22"/>
          <w:szCs w:val="22"/>
          <w:rtl/>
        </w:rPr>
        <w:t>2015</w:t>
      </w:r>
      <w:r w:rsidRPr="00470B06">
        <w:rPr>
          <w:rFonts w:ascii="Times New Roman" w:hAnsi="Times New Roman"/>
          <w:i w:val="0"/>
          <w:iCs w:val="0"/>
          <w:sz w:val="22"/>
          <w:szCs w:val="22"/>
        </w:rPr>
        <w:t>/DGPC</w:t>
      </w:r>
    </w:p>
    <w:p w:rsidR="00436299" w:rsidRPr="006C6B28" w:rsidRDefault="00436299" w:rsidP="00436299">
      <w:pPr>
        <w:pStyle w:val="Sansinterligne"/>
        <w:rPr>
          <w:sz w:val="22"/>
          <w:szCs w:val="22"/>
        </w:rPr>
      </w:pPr>
      <w:r>
        <w:rPr>
          <w:spacing w:val="-3"/>
          <w:sz w:val="22"/>
          <w:szCs w:val="22"/>
        </w:rPr>
        <w:t>1</w:t>
      </w:r>
      <w:r>
        <w:rPr>
          <w:spacing w:val="-3"/>
          <w:sz w:val="22"/>
          <w:szCs w:val="22"/>
        </w:rPr>
        <w:tab/>
        <w:t xml:space="preserve">Le </w:t>
      </w:r>
      <w:r w:rsidRPr="00DB5CBE">
        <w:rPr>
          <w:sz w:val="22"/>
          <w:szCs w:val="22"/>
        </w:rPr>
        <w:t xml:space="preserve">Ministère de l’Equipement, de </w:t>
      </w:r>
      <w:r>
        <w:rPr>
          <w:sz w:val="22"/>
          <w:szCs w:val="22"/>
        </w:rPr>
        <w:t xml:space="preserve">l’habitat et de </w:t>
      </w:r>
      <w:r w:rsidRPr="00DB5CBE">
        <w:rPr>
          <w:sz w:val="22"/>
          <w:szCs w:val="22"/>
        </w:rPr>
        <w:t xml:space="preserve">l’Aménagement du Territoire </w:t>
      </w:r>
      <w:r w:rsidRPr="006C6B28">
        <w:rPr>
          <w:spacing w:val="-3"/>
          <w:sz w:val="22"/>
          <w:szCs w:val="22"/>
        </w:rPr>
        <w:t xml:space="preserve">(Direction Générale des Ponts </w:t>
      </w:r>
      <w:r w:rsidRPr="006C6B28">
        <w:rPr>
          <w:sz w:val="22"/>
          <w:szCs w:val="22"/>
        </w:rPr>
        <w:t xml:space="preserve">et Chaussées) lance un appel d’offres ouvert à la concurrence nationale et internationale pour les travaux de construction de </w:t>
      </w:r>
      <w:r>
        <w:rPr>
          <w:sz w:val="22"/>
          <w:szCs w:val="22"/>
        </w:rPr>
        <w:t>l’é</w:t>
      </w:r>
      <w:r w:rsidRPr="006C6B28">
        <w:rPr>
          <w:sz w:val="22"/>
          <w:szCs w:val="22"/>
        </w:rPr>
        <w:t>changeur</w:t>
      </w:r>
      <w:r>
        <w:rPr>
          <w:sz w:val="22"/>
          <w:szCs w:val="22"/>
        </w:rPr>
        <w:t xml:space="preserve"> </w:t>
      </w:r>
      <w:proofErr w:type="spellStart"/>
      <w:r>
        <w:rPr>
          <w:sz w:val="22"/>
          <w:szCs w:val="22"/>
        </w:rPr>
        <w:t>Ezzouhour</w:t>
      </w:r>
      <w:proofErr w:type="spellEnd"/>
      <w:r>
        <w:rPr>
          <w:sz w:val="22"/>
          <w:szCs w:val="22"/>
        </w:rPr>
        <w:t xml:space="preserve"> X-RVE539 </w:t>
      </w:r>
      <w:r w:rsidRPr="006C6B28">
        <w:rPr>
          <w:sz w:val="22"/>
          <w:szCs w:val="22"/>
        </w:rPr>
        <w:t xml:space="preserve">dans le gouvernorat de </w:t>
      </w:r>
      <w:r>
        <w:rPr>
          <w:sz w:val="22"/>
          <w:szCs w:val="22"/>
        </w:rPr>
        <w:t>Tunis</w:t>
      </w:r>
      <w:r w:rsidRPr="006C6B28">
        <w:rPr>
          <w:sz w:val="22"/>
          <w:szCs w:val="22"/>
        </w:rPr>
        <w:t>.</w:t>
      </w:r>
    </w:p>
    <w:p w:rsidR="00436299" w:rsidRPr="006C6B28" w:rsidRDefault="00436299" w:rsidP="00436299">
      <w:pPr>
        <w:pStyle w:val="Sansinterligne"/>
        <w:rPr>
          <w:sz w:val="22"/>
          <w:szCs w:val="22"/>
        </w:rPr>
      </w:pPr>
      <w:r w:rsidRPr="006C6B28">
        <w:rPr>
          <w:sz w:val="22"/>
          <w:szCs w:val="22"/>
        </w:rPr>
        <w:t>2</w:t>
      </w:r>
      <w:r w:rsidRPr="006C6B28">
        <w:rPr>
          <w:sz w:val="22"/>
          <w:szCs w:val="22"/>
        </w:rPr>
        <w:tab/>
        <w:t>La Banque Européenne d’Investissement a été sollicitée pour le financement de ces travaux.</w:t>
      </w:r>
    </w:p>
    <w:p w:rsidR="00436299" w:rsidRPr="006C6B28" w:rsidRDefault="00436299" w:rsidP="005B5A9C">
      <w:pPr>
        <w:pStyle w:val="Sansinterligne"/>
        <w:ind w:hanging="5"/>
        <w:rPr>
          <w:sz w:val="22"/>
          <w:szCs w:val="22"/>
        </w:rPr>
      </w:pPr>
      <w:r w:rsidRPr="006C6B28">
        <w:rPr>
          <w:spacing w:val="-3"/>
          <w:sz w:val="22"/>
          <w:szCs w:val="22"/>
        </w:rPr>
        <w:t xml:space="preserve">Le Ministère </w:t>
      </w:r>
      <w:r w:rsidRPr="00DB5CBE">
        <w:rPr>
          <w:sz w:val="22"/>
          <w:szCs w:val="22"/>
        </w:rPr>
        <w:t>de l’Equipement, de l’</w:t>
      </w:r>
      <w:r w:rsidR="005B5A9C">
        <w:rPr>
          <w:sz w:val="22"/>
          <w:szCs w:val="22"/>
        </w:rPr>
        <w:t>Habitat et de l’</w:t>
      </w:r>
      <w:r w:rsidRPr="00DB5CBE">
        <w:rPr>
          <w:sz w:val="22"/>
          <w:szCs w:val="22"/>
        </w:rPr>
        <w:t>Aménagement du Territoire</w:t>
      </w:r>
      <w:r w:rsidRPr="006C6B28">
        <w:rPr>
          <w:spacing w:val="-3"/>
          <w:sz w:val="22"/>
          <w:szCs w:val="22"/>
        </w:rPr>
        <w:t>, (Direction Générale des Ponts et Chaussées) est chargé de l’exécution de ce projet.</w:t>
      </w:r>
    </w:p>
    <w:p w:rsidR="00436299" w:rsidRPr="006C6B28" w:rsidRDefault="00436299" w:rsidP="00436299">
      <w:pPr>
        <w:pStyle w:val="Sansinterligne"/>
        <w:rPr>
          <w:spacing w:val="-3"/>
          <w:sz w:val="22"/>
          <w:szCs w:val="22"/>
        </w:rPr>
      </w:pPr>
      <w:r>
        <w:rPr>
          <w:bCs/>
          <w:spacing w:val="-3"/>
          <w:sz w:val="22"/>
          <w:szCs w:val="22"/>
        </w:rPr>
        <w:t>3</w:t>
      </w:r>
      <w:r>
        <w:rPr>
          <w:bCs/>
          <w:spacing w:val="-3"/>
          <w:sz w:val="22"/>
          <w:szCs w:val="22"/>
        </w:rPr>
        <w:tab/>
      </w:r>
      <w:r w:rsidRPr="006C6B28">
        <w:rPr>
          <w:bCs/>
          <w:spacing w:val="-3"/>
          <w:sz w:val="22"/>
          <w:szCs w:val="22"/>
        </w:rPr>
        <w:t>Sont</w:t>
      </w:r>
      <w:r w:rsidRPr="006C6B28">
        <w:rPr>
          <w:spacing w:val="-3"/>
          <w:sz w:val="22"/>
          <w:szCs w:val="22"/>
        </w:rPr>
        <w:t xml:space="preserve"> autorisés à participer à cet appel d’offres :</w:t>
      </w:r>
    </w:p>
    <w:p w:rsidR="00436299" w:rsidRPr="006C6B28" w:rsidRDefault="00436299" w:rsidP="00436299">
      <w:pPr>
        <w:pStyle w:val="Sansinterligne"/>
        <w:rPr>
          <w:spacing w:val="-3"/>
          <w:sz w:val="22"/>
          <w:szCs w:val="22"/>
        </w:rPr>
      </w:pPr>
      <w:r w:rsidRPr="006C6B28">
        <w:rPr>
          <w:spacing w:val="-3"/>
          <w:sz w:val="22"/>
          <w:szCs w:val="22"/>
        </w:rPr>
        <w:t>3.1</w:t>
      </w:r>
      <w:r w:rsidRPr="006C6B28">
        <w:rPr>
          <w:b/>
          <w:bCs/>
          <w:spacing w:val="-3"/>
          <w:sz w:val="22"/>
          <w:szCs w:val="22"/>
        </w:rPr>
        <w:t>-</w:t>
      </w:r>
      <w:r w:rsidRPr="006C6B28">
        <w:rPr>
          <w:spacing w:val="-3"/>
          <w:sz w:val="22"/>
          <w:szCs w:val="22"/>
        </w:rPr>
        <w:t>Les entreprises ou groupements solidaires d’entreprises étrangères, spécialisées et qualifiées dans les travaux routiers et les travaux d’ouvrages d’art.</w:t>
      </w:r>
    </w:p>
    <w:p w:rsidR="00436299" w:rsidRPr="006C6B28" w:rsidRDefault="00436299" w:rsidP="00436299">
      <w:pPr>
        <w:pStyle w:val="Sansinterligne"/>
        <w:rPr>
          <w:sz w:val="22"/>
          <w:szCs w:val="22"/>
        </w:rPr>
      </w:pPr>
      <w:r w:rsidRPr="006C6B28">
        <w:rPr>
          <w:spacing w:val="-3"/>
          <w:sz w:val="22"/>
          <w:szCs w:val="22"/>
        </w:rPr>
        <w:t>3.2-</w:t>
      </w:r>
      <w:r w:rsidRPr="006C6B28">
        <w:rPr>
          <w:sz w:val="22"/>
          <w:szCs w:val="22"/>
        </w:rPr>
        <w:t>Les entreprises tunisiennes participant:</w:t>
      </w:r>
    </w:p>
    <w:p w:rsidR="00436299" w:rsidRPr="006C6B28" w:rsidRDefault="00436299" w:rsidP="00436299">
      <w:pPr>
        <w:pStyle w:val="Sansinterligne"/>
        <w:rPr>
          <w:sz w:val="22"/>
          <w:szCs w:val="22"/>
        </w:rPr>
      </w:pPr>
      <w:r w:rsidRPr="006C6B28">
        <w:rPr>
          <w:sz w:val="22"/>
          <w:szCs w:val="22"/>
        </w:rPr>
        <w:t>i. A titre individuel : dans ce cas, il est requis les agréments suivants: activité: route, spécialité R0: Entreprise Générale, Catégorie 5 et plus et activité: route et Spécialité R3 : Ouvrages d’art, Catégorie 5 et plus,</w:t>
      </w:r>
    </w:p>
    <w:p w:rsidR="00436299" w:rsidRPr="006C6B28" w:rsidRDefault="00436299" w:rsidP="00436299">
      <w:pPr>
        <w:pStyle w:val="Sansinterligne"/>
        <w:rPr>
          <w:sz w:val="22"/>
          <w:szCs w:val="22"/>
        </w:rPr>
      </w:pPr>
      <w:r w:rsidRPr="006C6B28">
        <w:rPr>
          <w:sz w:val="22"/>
          <w:szCs w:val="22"/>
        </w:rPr>
        <w:t>ii. En groupement solidaire d’entreprises tunisiennes </w:t>
      </w:r>
      <w:proofErr w:type="gramStart"/>
      <w:r w:rsidRPr="006C6B28">
        <w:rPr>
          <w:sz w:val="22"/>
          <w:szCs w:val="22"/>
        </w:rPr>
        <w:t>:A</w:t>
      </w:r>
      <w:proofErr w:type="gramEnd"/>
      <w:r w:rsidRPr="006C6B28">
        <w:rPr>
          <w:sz w:val="22"/>
          <w:szCs w:val="22"/>
        </w:rPr>
        <w:t xml:space="preserve"> ce titre, il est exigé du groupement de réunir les deux agréments R0 : Entreprise Générale Catégorie5 et plus et R3 : Ouvrages d’Art  Catégorie 5 et plus.</w:t>
      </w:r>
    </w:p>
    <w:p w:rsidR="00436299" w:rsidRPr="006C6B28" w:rsidRDefault="00436299" w:rsidP="00436299">
      <w:pPr>
        <w:pStyle w:val="Sansinterligne"/>
        <w:ind w:hanging="5"/>
        <w:rPr>
          <w:sz w:val="22"/>
          <w:szCs w:val="22"/>
        </w:rPr>
      </w:pPr>
      <w:r w:rsidRPr="006C6B28">
        <w:rPr>
          <w:sz w:val="22"/>
          <w:szCs w:val="22"/>
        </w:rPr>
        <w:t>Dans ce cas il est requis du chef de file l’agrément R</w:t>
      </w:r>
      <w:r>
        <w:rPr>
          <w:sz w:val="22"/>
          <w:szCs w:val="22"/>
        </w:rPr>
        <w:t>3</w:t>
      </w:r>
      <w:r w:rsidRPr="006C6B28">
        <w:rPr>
          <w:sz w:val="22"/>
          <w:szCs w:val="22"/>
        </w:rPr>
        <w:t xml:space="preserve"> – Catégorie 5et plus.</w:t>
      </w:r>
    </w:p>
    <w:p w:rsidR="00436299" w:rsidRPr="006C6B28" w:rsidRDefault="00436299" w:rsidP="005B5A9C">
      <w:pPr>
        <w:pStyle w:val="Sansinterligne"/>
        <w:rPr>
          <w:bCs/>
          <w:spacing w:val="-3"/>
          <w:sz w:val="22"/>
          <w:szCs w:val="22"/>
        </w:rPr>
      </w:pPr>
      <w:r w:rsidRPr="006C6B28">
        <w:rPr>
          <w:bCs/>
          <w:spacing w:val="-3"/>
          <w:sz w:val="22"/>
          <w:szCs w:val="22"/>
        </w:rPr>
        <w:t>3.3</w:t>
      </w:r>
      <w:r w:rsidRPr="006C6B28">
        <w:rPr>
          <w:b/>
          <w:spacing w:val="-3"/>
          <w:sz w:val="22"/>
          <w:szCs w:val="22"/>
        </w:rPr>
        <w:t xml:space="preserve">- </w:t>
      </w:r>
      <w:r w:rsidRPr="006C6B28">
        <w:rPr>
          <w:bCs/>
          <w:spacing w:val="-3"/>
          <w:sz w:val="22"/>
          <w:szCs w:val="22"/>
        </w:rPr>
        <w:t xml:space="preserve">et les groupements qui peuvent en résulter entre les candidats désignés au </w:t>
      </w:r>
      <w:r w:rsidR="005B5A9C">
        <w:rPr>
          <w:bCs/>
          <w:spacing w:val="-3"/>
          <w:sz w:val="22"/>
          <w:szCs w:val="22"/>
        </w:rPr>
        <w:t>3</w:t>
      </w:r>
      <w:r w:rsidRPr="006C6B28">
        <w:rPr>
          <w:bCs/>
          <w:spacing w:val="-3"/>
          <w:sz w:val="22"/>
          <w:szCs w:val="22"/>
        </w:rPr>
        <w:t xml:space="preserve">.1 et </w:t>
      </w:r>
      <w:r w:rsidR="005B5A9C">
        <w:rPr>
          <w:bCs/>
          <w:spacing w:val="-3"/>
          <w:sz w:val="22"/>
          <w:szCs w:val="22"/>
        </w:rPr>
        <w:t>3</w:t>
      </w:r>
      <w:r w:rsidRPr="006C6B28">
        <w:rPr>
          <w:bCs/>
          <w:spacing w:val="-3"/>
          <w:sz w:val="22"/>
          <w:szCs w:val="22"/>
        </w:rPr>
        <w:t>.2 ci-dessus.</w:t>
      </w:r>
    </w:p>
    <w:p w:rsidR="00436299" w:rsidRPr="006C6B28" w:rsidRDefault="00436299" w:rsidP="00436299">
      <w:pPr>
        <w:pStyle w:val="Sansinterligne"/>
        <w:rPr>
          <w:spacing w:val="-3"/>
          <w:sz w:val="22"/>
          <w:szCs w:val="22"/>
        </w:rPr>
      </w:pPr>
      <w:r w:rsidRPr="006C6B28">
        <w:rPr>
          <w:spacing w:val="-3"/>
          <w:sz w:val="22"/>
          <w:szCs w:val="22"/>
        </w:rPr>
        <w:t>4</w:t>
      </w:r>
      <w:r w:rsidRPr="006C6B28">
        <w:rPr>
          <w:spacing w:val="-3"/>
          <w:sz w:val="22"/>
          <w:szCs w:val="22"/>
        </w:rPr>
        <w:tab/>
        <w:t xml:space="preserve">Les candidats </w:t>
      </w:r>
      <w:r w:rsidRPr="006C6B28">
        <w:rPr>
          <w:spacing w:val="-3"/>
          <w:w w:val="90"/>
          <w:sz w:val="22"/>
          <w:szCs w:val="22"/>
        </w:rPr>
        <w:t>répondant</w:t>
      </w:r>
      <w:r w:rsidRPr="006C6B28">
        <w:rPr>
          <w:spacing w:val="-3"/>
          <w:sz w:val="22"/>
          <w:szCs w:val="22"/>
        </w:rPr>
        <w:t xml:space="preserve"> aux conditions ci-dessus, peuvent recevoir toutes les informations concernant le projet, et retirer les dossiers d’appel d’offres à l’adresse suivante : Ministère </w:t>
      </w:r>
      <w:r w:rsidRPr="00DB5CBE">
        <w:rPr>
          <w:sz w:val="22"/>
          <w:szCs w:val="22"/>
        </w:rPr>
        <w:t>de l’Equipement, de l’</w:t>
      </w:r>
      <w:r>
        <w:rPr>
          <w:sz w:val="22"/>
          <w:szCs w:val="22"/>
        </w:rPr>
        <w:t>Habitat et de l’</w:t>
      </w:r>
      <w:r w:rsidRPr="00DB5CBE">
        <w:rPr>
          <w:sz w:val="22"/>
          <w:szCs w:val="22"/>
        </w:rPr>
        <w:t xml:space="preserve">Aménagement du Territoire </w:t>
      </w:r>
      <w:r w:rsidRPr="006C6B28">
        <w:rPr>
          <w:spacing w:val="-3"/>
          <w:sz w:val="22"/>
          <w:szCs w:val="22"/>
        </w:rPr>
        <w:t xml:space="preserve">- Direction des Etudes à </w:t>
      </w:r>
      <w:smartTag w:uri="urn:schemas-microsoft-com:office:smarttags" w:element="PersonName">
        <w:smartTagPr>
          <w:attr w:name="ProductID" w:val="La Direction G￩n￩rale"/>
        </w:smartTagPr>
        <w:r w:rsidRPr="006C6B28">
          <w:rPr>
            <w:spacing w:val="-3"/>
            <w:sz w:val="22"/>
            <w:szCs w:val="22"/>
          </w:rPr>
          <w:t>la Direction Générale</w:t>
        </w:r>
      </w:smartTag>
      <w:r w:rsidRPr="006C6B28">
        <w:rPr>
          <w:spacing w:val="-3"/>
          <w:sz w:val="22"/>
          <w:szCs w:val="22"/>
        </w:rPr>
        <w:t xml:space="preserve"> des Ponts et Chaussées – Cité Jardins –1030 - Tunis, à partir de la date de la 1</w:t>
      </w:r>
      <w:r w:rsidRPr="006C6B28">
        <w:rPr>
          <w:spacing w:val="-3"/>
          <w:sz w:val="22"/>
          <w:szCs w:val="22"/>
          <w:vertAlign w:val="superscript"/>
        </w:rPr>
        <w:t>ère</w:t>
      </w:r>
      <w:r w:rsidRPr="006C6B28">
        <w:rPr>
          <w:spacing w:val="-3"/>
          <w:sz w:val="22"/>
          <w:szCs w:val="22"/>
        </w:rPr>
        <w:t xml:space="preserve"> publication de cet avis</w:t>
      </w:r>
      <w:r w:rsidRPr="006C6B28">
        <w:rPr>
          <w:b/>
          <w:spacing w:val="-3"/>
          <w:sz w:val="22"/>
          <w:szCs w:val="22"/>
        </w:rPr>
        <w:t>.</w:t>
      </w:r>
    </w:p>
    <w:p w:rsidR="00436299" w:rsidRPr="006C6B28" w:rsidRDefault="00436299" w:rsidP="00436299">
      <w:pPr>
        <w:pStyle w:val="Sansinterligne"/>
        <w:rPr>
          <w:b/>
          <w:spacing w:val="-3"/>
          <w:sz w:val="22"/>
          <w:szCs w:val="22"/>
        </w:rPr>
      </w:pPr>
      <w:r w:rsidRPr="006C6B28">
        <w:rPr>
          <w:spacing w:val="-3"/>
          <w:sz w:val="22"/>
          <w:szCs w:val="22"/>
        </w:rPr>
        <w:t>5</w:t>
      </w:r>
      <w:r w:rsidRPr="006C6B28">
        <w:rPr>
          <w:spacing w:val="-3"/>
          <w:sz w:val="22"/>
          <w:szCs w:val="22"/>
        </w:rPr>
        <w:tab/>
        <w:t>Le retrait des dossiers d’appel d’offres se fera moyennant le paiement d’un montant forfaitaire, non remboursable, fixé à</w:t>
      </w:r>
      <w:r w:rsidRPr="006C6B28">
        <w:rPr>
          <w:b/>
          <w:bCs/>
          <w:spacing w:val="-3"/>
          <w:sz w:val="22"/>
          <w:szCs w:val="22"/>
        </w:rPr>
        <w:t xml:space="preserve"> </w:t>
      </w:r>
      <w:r>
        <w:rPr>
          <w:b/>
          <w:bCs/>
          <w:spacing w:val="-3"/>
          <w:sz w:val="22"/>
          <w:szCs w:val="22"/>
        </w:rPr>
        <w:t xml:space="preserve">Mille </w:t>
      </w:r>
      <w:r w:rsidRPr="006C6B28">
        <w:rPr>
          <w:b/>
          <w:spacing w:val="-3"/>
          <w:sz w:val="22"/>
          <w:szCs w:val="22"/>
        </w:rPr>
        <w:t>(</w:t>
      </w:r>
      <w:r>
        <w:rPr>
          <w:b/>
          <w:spacing w:val="-3"/>
          <w:sz w:val="22"/>
          <w:szCs w:val="22"/>
        </w:rPr>
        <w:t>10</w:t>
      </w:r>
      <w:r w:rsidRPr="006C6B28">
        <w:rPr>
          <w:b/>
          <w:spacing w:val="-3"/>
          <w:sz w:val="22"/>
          <w:szCs w:val="22"/>
        </w:rPr>
        <w:t>00) dinars tunisiens.</w:t>
      </w:r>
    </w:p>
    <w:p w:rsidR="00436299" w:rsidRPr="006C6B28" w:rsidRDefault="00436299" w:rsidP="00436299">
      <w:pPr>
        <w:pStyle w:val="Sansinterligne"/>
        <w:ind w:hanging="5"/>
        <w:rPr>
          <w:spacing w:val="-3"/>
          <w:sz w:val="22"/>
          <w:szCs w:val="22"/>
        </w:rPr>
      </w:pPr>
      <w:r w:rsidRPr="006C6B28">
        <w:rPr>
          <w:spacing w:val="-3"/>
          <w:sz w:val="22"/>
          <w:szCs w:val="22"/>
        </w:rPr>
        <w:t xml:space="preserve">Il sera procédé au versement de cette somme au </w:t>
      </w:r>
      <w:r w:rsidRPr="006C6B28">
        <w:rPr>
          <w:b/>
          <w:spacing w:val="-3"/>
          <w:sz w:val="22"/>
          <w:szCs w:val="22"/>
        </w:rPr>
        <w:t>compte courant postal CCP n°623-45</w:t>
      </w:r>
      <w:r w:rsidRPr="006C6B28">
        <w:rPr>
          <w:spacing w:val="-3"/>
          <w:sz w:val="22"/>
          <w:szCs w:val="22"/>
        </w:rPr>
        <w:t xml:space="preserve">, au nom de monsieur le régisseur des recettes de </w:t>
      </w:r>
      <w:smartTag w:uri="urn:schemas-microsoft-com:office:smarttags" w:element="PersonName">
        <w:smartTagPr>
          <w:attr w:name="ProductID" w:val="La Direction G￩n￩rale"/>
        </w:smartTagPr>
        <w:r w:rsidRPr="006C6B28">
          <w:rPr>
            <w:spacing w:val="-3"/>
            <w:sz w:val="22"/>
            <w:szCs w:val="22"/>
          </w:rPr>
          <w:t>la Direction Générale</w:t>
        </w:r>
      </w:smartTag>
      <w:r w:rsidRPr="006C6B28">
        <w:rPr>
          <w:spacing w:val="-3"/>
          <w:sz w:val="22"/>
          <w:szCs w:val="22"/>
        </w:rPr>
        <w:t xml:space="preserve"> des Ponts et Chaussées.</w:t>
      </w:r>
    </w:p>
    <w:p w:rsidR="00436299" w:rsidRPr="006C6B28" w:rsidRDefault="00436299" w:rsidP="00436299">
      <w:pPr>
        <w:pStyle w:val="Sansinterligne"/>
        <w:rPr>
          <w:spacing w:val="-3"/>
          <w:sz w:val="22"/>
          <w:szCs w:val="22"/>
        </w:rPr>
      </w:pPr>
      <w:r w:rsidRPr="006C6B28">
        <w:rPr>
          <w:spacing w:val="-3"/>
          <w:sz w:val="22"/>
          <w:szCs w:val="22"/>
        </w:rPr>
        <w:t>6</w:t>
      </w:r>
      <w:r w:rsidRPr="006C6B28">
        <w:rPr>
          <w:spacing w:val="-3"/>
          <w:sz w:val="22"/>
          <w:szCs w:val="22"/>
        </w:rPr>
        <w:tab/>
        <w:t xml:space="preserve">Les offres devront être présentées en un original et deux copies. Elles doivent être établies conformément aux conditions définies dans le dossier d’appel d’offres et doivent comporter tous les documents et renseignements exigés et particulièrement, les pièces administratives (CNSS, déclaration de non-faillite, déclaration de non influence, attestation fiscale et caution de soumission d’un montant forfaitaire égal à  </w:t>
      </w:r>
      <w:r w:rsidRPr="006C6B28">
        <w:rPr>
          <w:b/>
          <w:bCs/>
          <w:spacing w:val="-3"/>
          <w:sz w:val="22"/>
          <w:szCs w:val="22"/>
        </w:rPr>
        <w:t>Deux</w:t>
      </w:r>
      <w:r w:rsidRPr="006C6B28">
        <w:rPr>
          <w:spacing w:val="-3"/>
          <w:sz w:val="22"/>
          <w:szCs w:val="22"/>
        </w:rPr>
        <w:t xml:space="preserve"> </w:t>
      </w:r>
      <w:r w:rsidRPr="006C6B28">
        <w:rPr>
          <w:b/>
          <w:bCs/>
          <w:spacing w:val="-3"/>
          <w:sz w:val="22"/>
          <w:szCs w:val="22"/>
        </w:rPr>
        <w:t>Cent Mille (2</w:t>
      </w:r>
      <w:r>
        <w:rPr>
          <w:b/>
          <w:bCs/>
          <w:spacing w:val="-3"/>
          <w:sz w:val="22"/>
          <w:szCs w:val="22"/>
        </w:rPr>
        <w:t>0</w:t>
      </w:r>
      <w:r w:rsidRPr="006C6B28">
        <w:rPr>
          <w:b/>
          <w:bCs/>
          <w:spacing w:val="-3"/>
          <w:sz w:val="22"/>
          <w:szCs w:val="22"/>
        </w:rPr>
        <w:t>0.000,000) dinars tunisiens</w:t>
      </w:r>
      <w:r w:rsidRPr="006C6B28">
        <w:rPr>
          <w:spacing w:val="-3"/>
          <w:sz w:val="22"/>
          <w:szCs w:val="22"/>
        </w:rPr>
        <w:t xml:space="preserve">. </w:t>
      </w:r>
    </w:p>
    <w:p w:rsidR="00436299" w:rsidRPr="006C6B28" w:rsidRDefault="00436299" w:rsidP="00436299">
      <w:pPr>
        <w:pStyle w:val="Sansinterligne"/>
        <w:rPr>
          <w:bCs/>
          <w:spacing w:val="-3"/>
          <w:sz w:val="22"/>
          <w:szCs w:val="22"/>
        </w:rPr>
      </w:pPr>
      <w:r w:rsidRPr="006C6B28">
        <w:rPr>
          <w:spacing w:val="-3"/>
          <w:sz w:val="22"/>
          <w:szCs w:val="22"/>
        </w:rPr>
        <w:tab/>
        <w:t>La durée de validité des offres est de 120 jours à compter du lendemain de la date limite de réception des offres.</w:t>
      </w:r>
    </w:p>
    <w:p w:rsidR="00436299" w:rsidRPr="006C6B28" w:rsidRDefault="00436299" w:rsidP="00436299">
      <w:pPr>
        <w:pStyle w:val="Sansinterligne"/>
        <w:ind w:hanging="5"/>
        <w:rPr>
          <w:bCs/>
          <w:spacing w:val="-3"/>
          <w:sz w:val="22"/>
          <w:szCs w:val="22"/>
        </w:rPr>
      </w:pPr>
      <w:r w:rsidRPr="006C6B28">
        <w:rPr>
          <w:bCs/>
          <w:spacing w:val="-3"/>
          <w:sz w:val="22"/>
          <w:szCs w:val="22"/>
        </w:rPr>
        <w:t xml:space="preserve">Elles devront être placées dans une enveloppe extérieure scellée fermée portant uniquement le libellé de l’appel d’offres en caractères rouges «Appel d’offres international </w:t>
      </w:r>
      <w:r w:rsidRPr="006C6B28">
        <w:rPr>
          <w:b/>
          <w:spacing w:val="-3"/>
          <w:sz w:val="22"/>
          <w:szCs w:val="22"/>
        </w:rPr>
        <w:t xml:space="preserve">n° </w:t>
      </w:r>
      <w:r>
        <w:rPr>
          <w:b/>
          <w:spacing w:val="-3"/>
          <w:sz w:val="22"/>
          <w:szCs w:val="22"/>
        </w:rPr>
        <w:t>01</w:t>
      </w:r>
      <w:r w:rsidRPr="006C6B28">
        <w:rPr>
          <w:b/>
          <w:spacing w:val="-3"/>
          <w:sz w:val="22"/>
          <w:szCs w:val="22"/>
        </w:rPr>
        <w:t>/201</w:t>
      </w:r>
      <w:r>
        <w:rPr>
          <w:b/>
          <w:spacing w:val="-3"/>
          <w:sz w:val="22"/>
          <w:szCs w:val="22"/>
        </w:rPr>
        <w:t>5</w:t>
      </w:r>
      <w:r w:rsidRPr="006C6B28">
        <w:rPr>
          <w:b/>
          <w:spacing w:val="-3"/>
          <w:sz w:val="22"/>
          <w:szCs w:val="22"/>
        </w:rPr>
        <w:t>/DGPC</w:t>
      </w:r>
      <w:r w:rsidRPr="006C6B28">
        <w:rPr>
          <w:bCs/>
          <w:spacing w:val="-3"/>
          <w:sz w:val="22"/>
          <w:szCs w:val="22"/>
        </w:rPr>
        <w:t xml:space="preserve"> pour </w:t>
      </w:r>
      <w:r w:rsidRPr="006C6B28">
        <w:rPr>
          <w:sz w:val="22"/>
          <w:szCs w:val="22"/>
        </w:rPr>
        <w:t xml:space="preserve">les travaux  de construction de </w:t>
      </w:r>
      <w:r>
        <w:rPr>
          <w:sz w:val="22"/>
          <w:szCs w:val="22"/>
        </w:rPr>
        <w:t>l’éc</w:t>
      </w:r>
      <w:r w:rsidRPr="006C6B28">
        <w:rPr>
          <w:sz w:val="22"/>
          <w:szCs w:val="22"/>
        </w:rPr>
        <w:t xml:space="preserve">hangeur </w:t>
      </w:r>
      <w:proofErr w:type="spellStart"/>
      <w:r>
        <w:rPr>
          <w:sz w:val="22"/>
          <w:szCs w:val="22"/>
        </w:rPr>
        <w:t>Ezzouhour</w:t>
      </w:r>
      <w:proofErr w:type="spellEnd"/>
      <w:r>
        <w:rPr>
          <w:sz w:val="22"/>
          <w:szCs w:val="22"/>
        </w:rPr>
        <w:t xml:space="preserve"> X-RVE539</w:t>
      </w:r>
      <w:r w:rsidRPr="006C6B28">
        <w:rPr>
          <w:sz w:val="22"/>
          <w:szCs w:val="22"/>
        </w:rPr>
        <w:t xml:space="preserve"> dans le gouvernorat de </w:t>
      </w:r>
      <w:r>
        <w:rPr>
          <w:sz w:val="22"/>
          <w:szCs w:val="22"/>
        </w:rPr>
        <w:t>Tunis</w:t>
      </w:r>
      <w:r w:rsidRPr="006C6B28">
        <w:rPr>
          <w:sz w:val="22"/>
          <w:szCs w:val="22"/>
        </w:rPr>
        <w:t>»</w:t>
      </w:r>
      <w:r w:rsidRPr="006C6B28">
        <w:rPr>
          <w:bCs/>
          <w:spacing w:val="-3"/>
          <w:sz w:val="22"/>
          <w:szCs w:val="22"/>
        </w:rPr>
        <w:t>.</w:t>
      </w:r>
    </w:p>
    <w:p w:rsidR="00436299" w:rsidRPr="006C6B28" w:rsidRDefault="00436299" w:rsidP="003857D4">
      <w:pPr>
        <w:pStyle w:val="Sansinterligne"/>
        <w:rPr>
          <w:sz w:val="22"/>
          <w:szCs w:val="22"/>
        </w:rPr>
      </w:pPr>
      <w:r w:rsidRPr="006C6B28">
        <w:rPr>
          <w:spacing w:val="-3"/>
          <w:sz w:val="22"/>
          <w:szCs w:val="22"/>
        </w:rPr>
        <w:lastRenderedPageBreak/>
        <w:tab/>
        <w:t xml:space="preserve">Elles doivent être adressées par voie postale (par rapide poste) à l’adresse indiquée au paragraphe 5 ci-dessus ou peuvent être remises directement au bureau d’ordre central du Ministère avec accusé de réception. La date limite de réception des offres est fixée pour </w:t>
      </w:r>
      <w:r w:rsidRPr="006C6B28">
        <w:rPr>
          <w:b/>
          <w:spacing w:val="-3"/>
          <w:sz w:val="22"/>
          <w:szCs w:val="22"/>
        </w:rPr>
        <w:t xml:space="preserve">le </w:t>
      </w:r>
      <w:r>
        <w:rPr>
          <w:b/>
          <w:spacing w:val="-3"/>
          <w:sz w:val="22"/>
          <w:szCs w:val="22"/>
        </w:rPr>
        <w:t>2</w:t>
      </w:r>
      <w:r w:rsidR="003857D4">
        <w:rPr>
          <w:b/>
          <w:spacing w:val="-3"/>
          <w:sz w:val="22"/>
          <w:szCs w:val="22"/>
        </w:rPr>
        <w:t>8</w:t>
      </w:r>
      <w:r>
        <w:rPr>
          <w:b/>
          <w:spacing w:val="-3"/>
          <w:sz w:val="22"/>
          <w:szCs w:val="22"/>
        </w:rPr>
        <w:t xml:space="preserve"> Avril 2015</w:t>
      </w:r>
      <w:r w:rsidRPr="006C6B28">
        <w:rPr>
          <w:b/>
          <w:spacing w:val="-3"/>
          <w:sz w:val="22"/>
          <w:szCs w:val="22"/>
        </w:rPr>
        <w:t xml:space="preserve"> à 9H30</w:t>
      </w:r>
      <w:r w:rsidRPr="006C6B28">
        <w:rPr>
          <w:spacing w:val="-3"/>
          <w:sz w:val="22"/>
          <w:szCs w:val="22"/>
        </w:rPr>
        <w:t xml:space="preserve">. </w:t>
      </w:r>
      <w:r w:rsidRPr="006C6B28">
        <w:rPr>
          <w:b/>
          <w:bCs/>
          <w:spacing w:val="-3"/>
          <w:sz w:val="22"/>
          <w:szCs w:val="22"/>
        </w:rPr>
        <w:t>(</w:t>
      </w:r>
      <w:r w:rsidRPr="006C6B28">
        <w:rPr>
          <w:b/>
          <w:bCs/>
          <w:sz w:val="22"/>
          <w:szCs w:val="22"/>
        </w:rPr>
        <w:t>Le cachet du bureau d’ordre central du Ministère de l’Equipement, de l’</w:t>
      </w:r>
      <w:r>
        <w:rPr>
          <w:b/>
          <w:bCs/>
          <w:sz w:val="22"/>
          <w:szCs w:val="22"/>
        </w:rPr>
        <w:t>Habitat et de l’</w:t>
      </w:r>
      <w:r w:rsidRPr="006C6B28">
        <w:rPr>
          <w:b/>
          <w:bCs/>
          <w:sz w:val="22"/>
          <w:szCs w:val="22"/>
        </w:rPr>
        <w:t>Aménagement du Territoire faisant foi</w:t>
      </w:r>
      <w:r w:rsidRPr="006C6B28">
        <w:rPr>
          <w:b/>
          <w:bCs/>
          <w:spacing w:val="-3"/>
          <w:sz w:val="22"/>
          <w:szCs w:val="22"/>
        </w:rPr>
        <w:t>).</w:t>
      </w:r>
      <w:r w:rsidRPr="006C6B28">
        <w:rPr>
          <w:b/>
          <w:spacing w:val="-3"/>
          <w:sz w:val="22"/>
          <w:szCs w:val="22"/>
        </w:rPr>
        <w:t xml:space="preserve"> </w:t>
      </w:r>
      <w:r w:rsidRPr="006C6B28">
        <w:rPr>
          <w:bCs/>
          <w:spacing w:val="-3"/>
          <w:sz w:val="22"/>
          <w:szCs w:val="22"/>
        </w:rPr>
        <w:t xml:space="preserve">Toute offre parvenue après ce délai </w:t>
      </w:r>
      <w:r w:rsidRPr="00DB5CBE">
        <w:rPr>
          <w:b/>
          <w:spacing w:val="-3"/>
          <w:sz w:val="22"/>
          <w:szCs w:val="22"/>
        </w:rPr>
        <w:t>(date et heure)</w:t>
      </w:r>
      <w:r>
        <w:rPr>
          <w:bCs/>
          <w:spacing w:val="-3"/>
          <w:sz w:val="22"/>
          <w:szCs w:val="22"/>
        </w:rPr>
        <w:t xml:space="preserve"> </w:t>
      </w:r>
      <w:r w:rsidRPr="006C6B28">
        <w:rPr>
          <w:bCs/>
          <w:spacing w:val="-3"/>
          <w:sz w:val="22"/>
          <w:szCs w:val="22"/>
        </w:rPr>
        <w:t>sera rejetée.</w:t>
      </w:r>
    </w:p>
    <w:p w:rsidR="00436299" w:rsidRPr="006C6B28" w:rsidRDefault="00436299" w:rsidP="003857D4">
      <w:pPr>
        <w:pStyle w:val="Sansinterligne"/>
        <w:rPr>
          <w:sz w:val="22"/>
          <w:szCs w:val="22"/>
        </w:rPr>
      </w:pPr>
      <w:r>
        <w:rPr>
          <w:sz w:val="22"/>
          <w:szCs w:val="22"/>
        </w:rPr>
        <w:t>7</w:t>
      </w:r>
      <w:r w:rsidRPr="006C6B28">
        <w:rPr>
          <w:sz w:val="22"/>
          <w:szCs w:val="22"/>
        </w:rPr>
        <w:tab/>
        <w:t xml:space="preserve">L’ouverture des plis techniques aura lieu le </w:t>
      </w:r>
      <w:r>
        <w:rPr>
          <w:b/>
          <w:spacing w:val="-3"/>
          <w:sz w:val="22"/>
          <w:szCs w:val="22"/>
        </w:rPr>
        <w:t xml:space="preserve"> 2</w:t>
      </w:r>
      <w:r w:rsidR="003857D4">
        <w:rPr>
          <w:b/>
          <w:spacing w:val="-3"/>
          <w:sz w:val="22"/>
          <w:szCs w:val="22"/>
        </w:rPr>
        <w:t>8</w:t>
      </w:r>
      <w:r>
        <w:rPr>
          <w:b/>
          <w:spacing w:val="-3"/>
          <w:sz w:val="22"/>
          <w:szCs w:val="22"/>
        </w:rPr>
        <w:t xml:space="preserve"> Avril 2015</w:t>
      </w:r>
      <w:r w:rsidRPr="006C6B28">
        <w:rPr>
          <w:b/>
          <w:bCs/>
          <w:sz w:val="22"/>
          <w:szCs w:val="22"/>
        </w:rPr>
        <w:t xml:space="preserve"> à 10H00</w:t>
      </w:r>
      <w:r w:rsidRPr="006C6B28">
        <w:rPr>
          <w:sz w:val="22"/>
          <w:szCs w:val="22"/>
        </w:rPr>
        <w:t xml:space="preserve"> en séance publique, au </w:t>
      </w:r>
      <w:r w:rsidRPr="006C6B28">
        <w:rPr>
          <w:b/>
          <w:bCs/>
          <w:sz w:val="22"/>
          <w:szCs w:val="22"/>
        </w:rPr>
        <w:t>Ministère de l’Equipement, de l’</w:t>
      </w:r>
      <w:r>
        <w:rPr>
          <w:b/>
          <w:bCs/>
          <w:sz w:val="22"/>
          <w:szCs w:val="22"/>
        </w:rPr>
        <w:t>Habitat et de l’</w:t>
      </w:r>
      <w:r w:rsidRPr="006C6B28">
        <w:rPr>
          <w:b/>
          <w:bCs/>
          <w:sz w:val="22"/>
          <w:szCs w:val="22"/>
        </w:rPr>
        <w:t xml:space="preserve">Aménagement du Territoire </w:t>
      </w:r>
      <w:r w:rsidRPr="006C6B28">
        <w:rPr>
          <w:sz w:val="22"/>
          <w:szCs w:val="22"/>
        </w:rPr>
        <w:t xml:space="preserve">- </w:t>
      </w:r>
      <w:r w:rsidRPr="007C54E5">
        <w:rPr>
          <w:b/>
          <w:bCs/>
          <w:sz w:val="22"/>
          <w:szCs w:val="22"/>
        </w:rPr>
        <w:t>à la Direction Générale des Ponts et Chaussées</w:t>
      </w:r>
      <w:r w:rsidRPr="006C6B28">
        <w:rPr>
          <w:sz w:val="22"/>
          <w:szCs w:val="22"/>
        </w:rPr>
        <w:t>, en présence des représentants des soumissionnaires qui souhaitent y assister.</w:t>
      </w:r>
    </w:p>
    <w:p w:rsidR="009768D8" w:rsidRDefault="009768D8"/>
    <w:sectPr w:rsidR="009768D8" w:rsidSect="003372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436299"/>
    <w:rsid w:val="00337201"/>
    <w:rsid w:val="003857D4"/>
    <w:rsid w:val="00436299"/>
    <w:rsid w:val="005B5A9C"/>
    <w:rsid w:val="006C3481"/>
    <w:rsid w:val="009768D8"/>
    <w:rsid w:val="00DB7A8A"/>
    <w:rsid w:val="00EA5C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01"/>
  </w:style>
  <w:style w:type="paragraph" w:styleId="Titre1">
    <w:name w:val="heading 1"/>
    <w:basedOn w:val="Normal"/>
    <w:next w:val="Normal"/>
    <w:link w:val="Titre1Car"/>
    <w:qFormat/>
    <w:rsid w:val="00436299"/>
    <w:pPr>
      <w:keepNext/>
      <w:spacing w:before="240" w:after="60" w:line="180" w:lineRule="exact"/>
      <w:ind w:left="714" w:hanging="357"/>
      <w:jc w:val="both"/>
      <w:outlineLvl w:val="0"/>
    </w:pPr>
    <w:rPr>
      <w:rFonts w:ascii="Times New Roman" w:eastAsia="Times New Roman" w:hAnsi="Times New Roman" w:cs="Times New Roman"/>
      <w:spacing w:val="-3"/>
      <w:sz w:val="28"/>
      <w:szCs w:val="28"/>
    </w:rPr>
  </w:style>
  <w:style w:type="paragraph" w:styleId="Titre2">
    <w:name w:val="heading 2"/>
    <w:basedOn w:val="Normal"/>
    <w:next w:val="Normal"/>
    <w:link w:val="Titre2Car"/>
    <w:qFormat/>
    <w:rsid w:val="00436299"/>
    <w:pPr>
      <w:keepNext/>
      <w:spacing w:before="240" w:after="60" w:line="180" w:lineRule="exact"/>
      <w:outlineLvl w:val="1"/>
    </w:pPr>
    <w:rPr>
      <w:rFonts w:ascii="Arial" w:eastAsia="Times New Roman"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36299"/>
    <w:rPr>
      <w:rFonts w:ascii="Times New Roman" w:eastAsia="Times New Roman" w:hAnsi="Times New Roman" w:cs="Times New Roman"/>
      <w:spacing w:val="-3"/>
      <w:sz w:val="28"/>
      <w:szCs w:val="28"/>
    </w:rPr>
  </w:style>
  <w:style w:type="character" w:customStyle="1" w:styleId="Titre2Car">
    <w:name w:val="Titre 2 Car"/>
    <w:basedOn w:val="Policepardfaut"/>
    <w:link w:val="Titre2"/>
    <w:rsid w:val="00436299"/>
    <w:rPr>
      <w:rFonts w:ascii="Arial" w:eastAsia="Times New Roman" w:hAnsi="Arial" w:cs="Arial"/>
      <w:b/>
      <w:bCs/>
      <w:i/>
      <w:iCs/>
      <w:sz w:val="28"/>
      <w:szCs w:val="28"/>
    </w:rPr>
  </w:style>
  <w:style w:type="paragraph" w:styleId="Sansinterligne">
    <w:name w:val="No Spacing"/>
    <w:uiPriority w:val="1"/>
    <w:qFormat/>
    <w:rsid w:val="00436299"/>
    <w:pPr>
      <w:spacing w:after="0" w:line="240" w:lineRule="auto"/>
      <w:ind w:left="714" w:hanging="357"/>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637</Words>
  <Characters>3506</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Ovide</cp:lastModifiedBy>
  <cp:revision>2</cp:revision>
  <dcterms:created xsi:type="dcterms:W3CDTF">2015-03-24T15:12:00Z</dcterms:created>
  <dcterms:modified xsi:type="dcterms:W3CDTF">2015-03-24T15:12:00Z</dcterms:modified>
</cp:coreProperties>
</file>