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857F7" w:rsidRPr="00FA33E5" w:rsidTr="00E96BA5">
        <w:trPr>
          <w:trHeight w:val="340"/>
          <w:jc w:val="center"/>
        </w:trPr>
        <w:tc>
          <w:tcPr>
            <w:tcW w:w="10062" w:type="dxa"/>
          </w:tcPr>
          <w:p w:rsidR="00E857F7" w:rsidRPr="00FA33E5" w:rsidRDefault="00E857F7" w:rsidP="00E857F7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</w:p>
        </w:tc>
      </w:tr>
      <w:tr w:rsidR="00E857F7" w:rsidRPr="00FA33E5" w:rsidTr="00E96BA5">
        <w:trPr>
          <w:trHeight w:val="11766"/>
          <w:jc w:val="center"/>
        </w:trPr>
        <w:tc>
          <w:tcPr>
            <w:tcW w:w="10062" w:type="dxa"/>
            <w:shd w:val="clear" w:color="auto" w:fill="C00000"/>
          </w:tcPr>
          <w:p w:rsidR="00E857F7" w:rsidRPr="00FA33E5" w:rsidRDefault="00E857F7" w:rsidP="005D632A">
            <w:pPr>
              <w:jc w:val="center"/>
              <w:rPr>
                <w:rFonts w:cstheme="minorHAnsi"/>
                <w:lang w:val="en-US"/>
              </w:rPr>
            </w:pPr>
          </w:p>
          <w:tbl>
            <w:tblPr>
              <w:tblStyle w:val="TabloKlavuzu"/>
              <w:tblW w:w="12334" w:type="dxa"/>
              <w:jc w:val="center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067"/>
            </w:tblGrid>
            <w:tr w:rsidR="007B2897" w:rsidRPr="00FA33E5" w:rsidTr="00762A4F">
              <w:trPr>
                <w:trHeight w:val="1173"/>
                <w:jc w:val="center"/>
              </w:trPr>
              <w:tc>
                <w:tcPr>
                  <w:tcW w:w="12334" w:type="dxa"/>
                  <w:shd w:val="clear" w:color="auto" w:fill="FFFFFF" w:themeFill="background1"/>
                </w:tcPr>
                <w:p w:rsidR="007B2897" w:rsidRPr="00FA33E5" w:rsidRDefault="008A7D5E" w:rsidP="005D632A">
                  <w:pPr>
                    <w:jc w:val="center"/>
                    <w:rPr>
                      <w:rFonts w:cstheme="minorHAnsi"/>
                      <w:i/>
                      <w:sz w:val="26"/>
                      <w:szCs w:val="26"/>
                      <w:lang w:val="en-US"/>
                    </w:rPr>
                  </w:pPr>
                  <w:r>
                    <w:rPr>
                      <w:rFonts w:cstheme="minorHAnsi"/>
                      <w:i/>
                      <w:noProof/>
                      <w:sz w:val="26"/>
                      <w:szCs w:val="26"/>
                      <w:lang w:eastAsia="tr-TR"/>
                    </w:rPr>
                    <w:drawing>
                      <wp:inline distT="0" distB="0" distL="0" distR="0" wp14:anchorId="08DD32FB" wp14:editId="28F98440">
                        <wp:extent cx="7772400" cy="2295525"/>
                        <wp:effectExtent l="0" t="0" r="0" b="9525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400" cy="2295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C0200" w:rsidRPr="00FA33E5" w:rsidRDefault="00DC0200" w:rsidP="005D632A">
            <w:pPr>
              <w:jc w:val="center"/>
              <w:rPr>
                <w:rFonts w:cstheme="minorHAnsi"/>
                <w:sz w:val="6"/>
                <w:szCs w:val="6"/>
                <w:lang w:val="en-US"/>
              </w:rPr>
            </w:pPr>
          </w:p>
          <w:tbl>
            <w:tblPr>
              <w:tblStyle w:val="TabloKlavuzu"/>
              <w:tblW w:w="12451" w:type="dxa"/>
              <w:jc w:val="center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465"/>
              <w:gridCol w:w="1398"/>
              <w:gridCol w:w="3204"/>
            </w:tblGrid>
            <w:tr w:rsidR="00597EDD" w:rsidRPr="00FA33E5" w:rsidTr="008108D1">
              <w:trPr>
                <w:trHeight w:val="922"/>
                <w:jc w:val="center"/>
              </w:trPr>
              <w:tc>
                <w:tcPr>
                  <w:tcW w:w="12451" w:type="dxa"/>
                  <w:gridSpan w:val="3"/>
                  <w:shd w:val="clear" w:color="auto" w:fill="FFFFFF" w:themeFill="background1"/>
                </w:tcPr>
                <w:p w:rsidR="009F57CF" w:rsidRPr="00FA33E5" w:rsidRDefault="009F57CF" w:rsidP="005D632A">
                  <w:pPr>
                    <w:ind w:hanging="709"/>
                    <w:jc w:val="center"/>
                    <w:rPr>
                      <w:b/>
                      <w:color w:val="000000" w:themeColor="text1"/>
                      <w:sz w:val="40"/>
                      <w:szCs w:val="40"/>
                      <w:lang w:val="en-US"/>
                    </w:rPr>
                  </w:pPr>
                  <w:r w:rsidRPr="00FA33E5">
                    <w:rPr>
                      <w:b/>
                      <w:color w:val="000000" w:themeColor="text1"/>
                      <w:sz w:val="40"/>
                      <w:szCs w:val="40"/>
                      <w:lang w:val="en-US"/>
                    </w:rPr>
                    <w:t xml:space="preserve">6th International Flour, </w:t>
                  </w:r>
                  <w:r w:rsidR="005D632A">
                    <w:rPr>
                      <w:b/>
                      <w:color w:val="000000" w:themeColor="text1"/>
                      <w:sz w:val="40"/>
                      <w:szCs w:val="40"/>
                      <w:lang w:val="en-US"/>
                    </w:rPr>
                    <w:t xml:space="preserve">Semolina, Rice, Corn, </w:t>
                  </w:r>
                  <w:proofErr w:type="spellStart"/>
                  <w:r w:rsidR="005D632A">
                    <w:rPr>
                      <w:b/>
                      <w:color w:val="000000" w:themeColor="text1"/>
                      <w:sz w:val="40"/>
                      <w:szCs w:val="40"/>
                      <w:lang w:val="en-US"/>
                    </w:rPr>
                    <w:t>Bulghur</w:t>
                  </w:r>
                  <w:proofErr w:type="spellEnd"/>
                  <w:r w:rsidR="005D632A">
                    <w:rPr>
                      <w:b/>
                      <w:color w:val="000000" w:themeColor="text1"/>
                      <w:sz w:val="40"/>
                      <w:szCs w:val="40"/>
                      <w:lang w:val="en-US"/>
                    </w:rPr>
                    <w:t xml:space="preserve">, </w:t>
                  </w:r>
                  <w:r w:rsidRPr="00FA33E5">
                    <w:rPr>
                      <w:b/>
                      <w:color w:val="000000" w:themeColor="text1"/>
                      <w:sz w:val="40"/>
                      <w:szCs w:val="40"/>
                      <w:lang w:val="en-US"/>
                    </w:rPr>
                    <w:t>Feed Milling Machinery &amp; Pulse, Pasta, Biscuit Technologies Exhibition</w:t>
                  </w:r>
                </w:p>
                <w:p w:rsidR="007B2897" w:rsidRPr="00FA33E5" w:rsidRDefault="00D9652A" w:rsidP="00D9652A">
                  <w:pPr>
                    <w:spacing w:line="276" w:lineRule="auto"/>
                    <w:jc w:val="center"/>
                    <w:rPr>
                      <w:rFonts w:cstheme="minorHAnsi"/>
                      <w:b/>
                      <w:sz w:val="72"/>
                      <w:szCs w:val="72"/>
                      <w:u w:val="single"/>
                      <w:lang w:val="en-US"/>
                    </w:rPr>
                  </w:pPr>
                  <w:r>
                    <w:rPr>
                      <w:rFonts w:cstheme="minorHAnsi"/>
                      <w:b/>
                      <w:sz w:val="72"/>
                      <w:szCs w:val="72"/>
                      <w:u w:val="single"/>
                      <w:lang w:val="en-US"/>
                    </w:rPr>
                    <w:t>23</w:t>
                  </w:r>
                  <w:r w:rsidR="007B2897" w:rsidRPr="00FA33E5">
                    <w:rPr>
                      <w:rFonts w:cstheme="minorHAnsi"/>
                      <w:b/>
                      <w:sz w:val="72"/>
                      <w:szCs w:val="72"/>
                      <w:u w:val="single"/>
                      <w:lang w:val="en-US"/>
                    </w:rPr>
                    <w:t xml:space="preserve"> – </w:t>
                  </w:r>
                  <w:r>
                    <w:rPr>
                      <w:rFonts w:cstheme="minorHAnsi"/>
                      <w:b/>
                      <w:sz w:val="72"/>
                      <w:szCs w:val="72"/>
                      <w:u w:val="single"/>
                      <w:lang w:val="en-US"/>
                    </w:rPr>
                    <w:t>26</w:t>
                  </w:r>
                  <w:r w:rsidR="007B2897" w:rsidRPr="00FA33E5">
                    <w:rPr>
                      <w:rFonts w:cstheme="minorHAnsi"/>
                      <w:b/>
                      <w:sz w:val="72"/>
                      <w:szCs w:val="72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72"/>
                      <w:szCs w:val="72"/>
                      <w:u w:val="single"/>
                      <w:lang w:val="en-US"/>
                    </w:rPr>
                    <w:t>April</w:t>
                  </w:r>
                  <w:r w:rsidR="007B2897" w:rsidRPr="00FA33E5">
                    <w:rPr>
                      <w:rFonts w:cstheme="minorHAnsi"/>
                      <w:b/>
                      <w:sz w:val="72"/>
                      <w:szCs w:val="72"/>
                      <w:u w:val="single"/>
                      <w:lang w:val="en-US"/>
                    </w:rPr>
                    <w:t xml:space="preserve"> 201</w:t>
                  </w:r>
                  <w:r>
                    <w:rPr>
                      <w:rFonts w:cstheme="minorHAnsi"/>
                      <w:b/>
                      <w:sz w:val="72"/>
                      <w:szCs w:val="72"/>
                      <w:u w:val="single"/>
                      <w:lang w:val="en-US"/>
                    </w:rPr>
                    <w:t>5</w:t>
                  </w:r>
                </w:p>
                <w:p w:rsidR="007B2897" w:rsidRPr="00FA33E5" w:rsidRDefault="00D9652A" w:rsidP="00D9652A">
                  <w:pPr>
                    <w:spacing w:line="276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Istanbul Expo Center – İstanbul </w:t>
                  </w:r>
                  <w:proofErr w:type="spellStart"/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Fuar</w:t>
                  </w:r>
                  <w:proofErr w:type="spellEnd"/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Merkezi</w:t>
                  </w:r>
                  <w:proofErr w:type="spellEnd"/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(CNR)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, </w:t>
                  </w:r>
                  <w:r w:rsidR="00814792" w:rsidRPr="00FA33E5">
                    <w:rPr>
                      <w:rFonts w:cstheme="minorHAnsi"/>
                      <w:b/>
                      <w:color w:val="FF0000"/>
                      <w:sz w:val="24"/>
                      <w:szCs w:val="24"/>
                      <w:lang w:val="en-US"/>
                    </w:rPr>
                    <w:t>Hall</w:t>
                  </w:r>
                  <w:r w:rsidR="007B2897" w:rsidRPr="00FA33E5">
                    <w:rPr>
                      <w:rFonts w:cstheme="minorHAnsi"/>
                      <w:b/>
                      <w:color w:val="FF0000"/>
                      <w:sz w:val="24"/>
                      <w:szCs w:val="24"/>
                      <w:lang w:val="en-US"/>
                    </w:rPr>
                    <w:t>: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1-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2-3</w:t>
                  </w:r>
                </w:p>
                <w:p w:rsidR="007B2897" w:rsidRPr="00FA33E5" w:rsidRDefault="00206318" w:rsidP="00D9652A">
                  <w:pPr>
                    <w:spacing w:line="276" w:lineRule="auto"/>
                    <w:jc w:val="center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FA33E5">
                    <w:rPr>
                      <w:rFonts w:cstheme="minorHAnsi"/>
                      <w:b/>
                      <w:color w:val="FF0000"/>
                      <w:sz w:val="28"/>
                      <w:szCs w:val="28"/>
                      <w:lang w:val="en-US"/>
                    </w:rPr>
                    <w:t>Visiting Hours</w:t>
                  </w:r>
                  <w:r w:rsidR="007B2897" w:rsidRPr="00FA33E5">
                    <w:rPr>
                      <w:rFonts w:cstheme="minorHAnsi"/>
                      <w:b/>
                      <w:color w:val="FF0000"/>
                      <w:sz w:val="28"/>
                      <w:szCs w:val="28"/>
                      <w:lang w:val="en-US"/>
                    </w:rPr>
                    <w:t>:</w:t>
                  </w:r>
                  <w:r w:rsidR="007B2897" w:rsidRPr="00FA33E5">
                    <w:rPr>
                      <w:rFonts w:cstheme="minorHAnsi"/>
                      <w:b/>
                      <w:color w:val="FF0000"/>
                      <w:sz w:val="24"/>
                      <w:szCs w:val="24"/>
                      <w:lang w:val="en-US"/>
                    </w:rPr>
                    <w:t xml:space="preserve"> </w:t>
                  </w:r>
                  <w:r w:rsidR="00D9652A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23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-</w:t>
                  </w:r>
                  <w:r w:rsidR="00D9652A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25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="00D9652A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April</w:t>
                  </w:r>
                  <w:r w:rsidR="00F24402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201</w:t>
                  </w:r>
                  <w:r w:rsidR="00D9652A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5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/ 10:00 – 19:00 </w:t>
                  </w:r>
                  <w:r w:rsidR="00762A4F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                 </w:t>
                  </w:r>
                  <w:r w:rsidR="00D9652A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26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="00D9652A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April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201</w:t>
                  </w:r>
                  <w:r w:rsidR="00D9652A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5</w:t>
                  </w:r>
                  <w:r w:rsidR="007B2897" w:rsidRPr="00FA33E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/ 10:00 – 17:00</w:t>
                  </w:r>
                </w:p>
              </w:tc>
            </w:tr>
            <w:tr w:rsidR="004636C5" w:rsidRPr="00FA33E5" w:rsidTr="008108D1">
              <w:trPr>
                <w:trHeight w:val="4174"/>
                <w:jc w:val="center"/>
              </w:trPr>
              <w:tc>
                <w:tcPr>
                  <w:tcW w:w="12451" w:type="dxa"/>
                  <w:gridSpan w:val="3"/>
                  <w:shd w:val="clear" w:color="auto" w:fill="FFFFFF" w:themeFill="background1"/>
                </w:tcPr>
                <w:p w:rsidR="002457D7" w:rsidRPr="00FA33E5" w:rsidRDefault="002457D7" w:rsidP="005D632A">
                  <w:pPr>
                    <w:jc w:val="center"/>
                    <w:rPr>
                      <w:rFonts w:eastAsia="Times New Roman" w:cstheme="minorHAnsi"/>
                      <w:color w:val="595959" w:themeColor="text1" w:themeTint="A6"/>
                      <w:sz w:val="20"/>
                      <w:szCs w:val="20"/>
                      <w:lang w:val="en-US" w:eastAsia="tr-TR"/>
                    </w:rPr>
                  </w:pPr>
                </w:p>
                <w:p w:rsidR="00675646" w:rsidRPr="00FA33E5" w:rsidRDefault="008A7D5E" w:rsidP="005D632A">
                  <w:pPr>
                    <w:jc w:val="center"/>
                    <w:rPr>
                      <w:rFonts w:eastAsia="Times New Roman" w:cstheme="minorHAnsi"/>
                      <w:color w:val="595959" w:themeColor="text1" w:themeTint="A6"/>
                      <w:sz w:val="2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theme="minorHAnsi"/>
                      <w:noProof/>
                      <w:color w:val="595959" w:themeColor="text1" w:themeTint="A6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07536684" wp14:editId="25909292">
                        <wp:extent cx="7677150" cy="2914650"/>
                        <wp:effectExtent l="0" t="0" r="0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7150" cy="2914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646" w:rsidRPr="00FA33E5" w:rsidRDefault="00675646" w:rsidP="005D632A">
                  <w:pPr>
                    <w:spacing w:line="276" w:lineRule="auto"/>
                    <w:jc w:val="center"/>
                    <w:rPr>
                      <w:rFonts w:eastAsia="Times New Roman" w:cstheme="minorHAnsi"/>
                      <w:b/>
                      <w:color w:val="FF0000"/>
                      <w:sz w:val="20"/>
                      <w:szCs w:val="20"/>
                      <w:lang w:val="en-US" w:eastAsia="tr-TR"/>
                    </w:rPr>
                  </w:pPr>
                </w:p>
                <w:p w:rsidR="00FA33E5" w:rsidRPr="00FA33E5" w:rsidRDefault="00FA33E5" w:rsidP="005D632A">
                  <w:pPr>
                    <w:spacing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FF0000"/>
                      <w:sz w:val="24"/>
                      <w:szCs w:val="24"/>
                      <w:lang w:val="en-US" w:eastAsia="tr-TR"/>
                    </w:rPr>
                  </w:pPr>
                  <w:r w:rsidRPr="00FA33E5">
                    <w:rPr>
                      <w:rFonts w:eastAsia="Times New Roman" w:cstheme="minorHAnsi"/>
                      <w:b/>
                      <w:bCs/>
                      <w:color w:val="FF0000"/>
                      <w:sz w:val="24"/>
                      <w:szCs w:val="24"/>
                      <w:lang w:val="en-US" w:eastAsia="tr-TR"/>
                    </w:rPr>
                    <w:t>BEING THE SOLE BROAD PARTICIPATION TECHNOLOGY FAIR IN THE WORLD IN TERMS OF ITS OWN EXPERTISE AREA,</w:t>
                  </w:r>
                </w:p>
                <w:p w:rsidR="008108D1" w:rsidRPr="00FA33E5" w:rsidRDefault="00FA33E5" w:rsidP="005D632A">
                  <w:pPr>
                    <w:spacing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FF0000"/>
                      <w:sz w:val="24"/>
                      <w:szCs w:val="24"/>
                      <w:lang w:val="en-US" w:eastAsia="tr-TR"/>
                    </w:rPr>
                  </w:pPr>
                  <w:r w:rsidRPr="00FA33E5">
                    <w:rPr>
                      <w:rFonts w:eastAsia="Times New Roman" w:cstheme="minorHAnsi"/>
                      <w:b/>
                      <w:bCs/>
                      <w:color w:val="FF0000"/>
                      <w:sz w:val="24"/>
                      <w:szCs w:val="24"/>
                      <w:lang w:val="en-US" w:eastAsia="tr-TR"/>
                    </w:rPr>
                    <w:t>IDMA PRESENTS FOLLOWING OPPORTUNITIES</w:t>
                  </w:r>
                </w:p>
                <w:p w:rsidR="008108D1" w:rsidRPr="00FA33E5" w:rsidRDefault="008108D1" w:rsidP="005D632A">
                  <w:pPr>
                    <w:spacing w:line="276" w:lineRule="auto"/>
                    <w:jc w:val="center"/>
                    <w:rPr>
                      <w:rFonts w:eastAsia="Times New Roman" w:cstheme="minorHAnsi"/>
                      <w:lang w:val="en-US" w:eastAsia="tr-TR"/>
                    </w:rPr>
                  </w:pPr>
                  <w:r w:rsidRPr="00FA33E5">
                    <w:rPr>
                      <w:rFonts w:eastAsia="Times New Roman" w:cstheme="minorHAnsi"/>
                      <w:lang w:val="en-US" w:eastAsia="tr-TR"/>
                    </w:rPr>
                    <w:t>Wide range of machinery, products and services sought for any company are available at same place,</w:t>
                  </w:r>
                </w:p>
                <w:p w:rsidR="008108D1" w:rsidRPr="00FA33E5" w:rsidRDefault="008108D1" w:rsidP="005D632A">
                  <w:pPr>
                    <w:spacing w:line="276" w:lineRule="auto"/>
                    <w:jc w:val="center"/>
                    <w:rPr>
                      <w:rFonts w:eastAsia="Times New Roman" w:cstheme="minorHAnsi"/>
                      <w:lang w:val="en-US" w:eastAsia="tr-TR"/>
                    </w:rPr>
                  </w:pPr>
                  <w:r w:rsidRPr="00FA33E5">
                    <w:rPr>
                      <w:rFonts w:eastAsia="Times New Roman" w:cstheme="minorHAnsi"/>
                      <w:lang w:val="en-US" w:eastAsia="tr-TR"/>
                    </w:rPr>
                    <w:t>The latest technologies improved regarding relevant expertise area can be seen and analyzed closely,</w:t>
                  </w:r>
                </w:p>
                <w:p w:rsidR="008108D1" w:rsidRPr="00FA33E5" w:rsidRDefault="008108D1" w:rsidP="005D632A">
                  <w:pPr>
                    <w:spacing w:line="276" w:lineRule="auto"/>
                    <w:jc w:val="center"/>
                    <w:rPr>
                      <w:rFonts w:eastAsia="Times New Roman" w:cstheme="minorHAnsi"/>
                      <w:lang w:val="en-US" w:eastAsia="tr-TR"/>
                    </w:rPr>
                  </w:pPr>
                  <w:r w:rsidRPr="00FA33E5">
                    <w:rPr>
                      <w:rFonts w:eastAsia="Times New Roman" w:cstheme="minorHAnsi"/>
                      <w:lang w:val="en-US" w:eastAsia="tr-TR"/>
                    </w:rPr>
                    <w:t>The opportunity to interview with the biggest technology companies participating to the fair, to receive respond to relevant questions and to make cooperation with them,</w:t>
                  </w:r>
                </w:p>
                <w:p w:rsidR="007B2897" w:rsidRPr="00FA33E5" w:rsidRDefault="008108D1" w:rsidP="005D632A">
                  <w:pPr>
                    <w:spacing w:line="276" w:lineRule="auto"/>
                    <w:jc w:val="center"/>
                    <w:rPr>
                      <w:rFonts w:eastAsia="Times New Roman" w:cstheme="minorHAnsi"/>
                      <w:lang w:val="en-US" w:eastAsia="tr-TR"/>
                    </w:rPr>
                  </w:pPr>
                  <w:r w:rsidRPr="00FA33E5">
                    <w:rPr>
                      <w:rFonts w:eastAsia="Times New Roman" w:cstheme="minorHAnsi"/>
                      <w:lang w:val="en-US" w:eastAsia="tr-TR"/>
                    </w:rPr>
                    <w:t>The possibility to compare companies developing similar technologies and accordingly, the technologies improved by such companies,</w:t>
                  </w:r>
                </w:p>
                <w:p w:rsidR="007B2897" w:rsidRPr="00FA33E5" w:rsidRDefault="008108D1" w:rsidP="005D632A">
                  <w:pPr>
                    <w:spacing w:line="276" w:lineRule="auto"/>
                    <w:jc w:val="center"/>
                    <w:rPr>
                      <w:rFonts w:eastAsia="Times New Roman" w:cstheme="minorHAnsi"/>
                      <w:lang w:val="en-US" w:eastAsia="tr-TR"/>
                    </w:rPr>
                  </w:pPr>
                  <w:r w:rsidRPr="00FA33E5">
                    <w:rPr>
                      <w:rFonts w:eastAsia="Times New Roman" w:cstheme="minorHAnsi"/>
                      <w:lang w:val="en-US" w:eastAsia="tr-TR"/>
                    </w:rPr>
                    <w:t>The possibility to have knowledge about many issues, such as latest technological improvements, developing markets, production-consumption data in the world, new trends, etc. by means of the activities arranged within the scope of the fair.</w:t>
                  </w:r>
                </w:p>
                <w:p w:rsidR="008108D1" w:rsidRPr="00FA33E5" w:rsidRDefault="008108D1" w:rsidP="005D632A">
                  <w:pPr>
                    <w:spacing w:line="276" w:lineRule="auto"/>
                    <w:jc w:val="center"/>
                    <w:rPr>
                      <w:rFonts w:eastAsia="Times New Roman" w:cstheme="minorHAnsi"/>
                      <w:lang w:val="en-US" w:eastAsia="tr-TR"/>
                    </w:rPr>
                  </w:pPr>
                </w:p>
                <w:p w:rsidR="00675646" w:rsidRPr="00FA33E5" w:rsidRDefault="008108D1" w:rsidP="005D632A">
                  <w:pPr>
                    <w:jc w:val="center"/>
                    <w:rPr>
                      <w:rFonts w:eastAsia="Times New Roman" w:cstheme="minorHAnsi"/>
                      <w:b/>
                      <w:i/>
                      <w:lang w:val="en-US" w:eastAsia="tr-TR"/>
                    </w:rPr>
                  </w:pPr>
                  <w:r w:rsidRPr="00FA33E5">
                    <w:rPr>
                      <w:rFonts w:eastAsia="Times New Roman" w:cstheme="minorHAnsi"/>
                      <w:b/>
                      <w:i/>
                      <w:lang w:val="en-US" w:eastAsia="tr-TR"/>
                    </w:rPr>
                    <w:t xml:space="preserve">“If you have any investment plan related with flour, semolina, rice, corn, </w:t>
                  </w:r>
                  <w:proofErr w:type="spellStart"/>
                  <w:r w:rsidRPr="00FA33E5">
                    <w:rPr>
                      <w:rFonts w:eastAsia="Times New Roman" w:cstheme="minorHAnsi"/>
                      <w:b/>
                      <w:i/>
                      <w:lang w:val="en-US" w:eastAsia="tr-TR"/>
                    </w:rPr>
                    <w:t>bulghur</w:t>
                  </w:r>
                  <w:proofErr w:type="spellEnd"/>
                  <w:r w:rsidRPr="00FA33E5">
                    <w:rPr>
                      <w:rFonts w:eastAsia="Times New Roman" w:cstheme="minorHAnsi"/>
                      <w:b/>
                      <w:i/>
                      <w:lang w:val="en-US" w:eastAsia="tr-TR"/>
                    </w:rPr>
                    <w:t>, feed milling machineries and pulse, pasta, biscuit technologies, you should visit IDMA Fair, as you will have the opportunity to analyze and compare many technological alternatives in this fair.”</w:t>
                  </w:r>
                </w:p>
                <w:p w:rsidR="008108D1" w:rsidRPr="00FA33E5" w:rsidRDefault="008108D1" w:rsidP="005D632A">
                  <w:pPr>
                    <w:jc w:val="center"/>
                    <w:rPr>
                      <w:rFonts w:eastAsia="Times New Roman" w:cstheme="minorHAnsi"/>
                      <w:color w:val="595959" w:themeColor="text1" w:themeTint="A6"/>
                      <w:sz w:val="20"/>
                      <w:szCs w:val="20"/>
                      <w:lang w:val="en-US" w:eastAsia="tr-TR"/>
                    </w:rPr>
                  </w:pPr>
                </w:p>
              </w:tc>
            </w:tr>
            <w:tr w:rsidR="00762A4F" w:rsidRPr="00FA33E5" w:rsidTr="008108D1">
              <w:trPr>
                <w:trHeight w:val="2583"/>
                <w:jc w:val="center"/>
              </w:trPr>
              <w:tc>
                <w:tcPr>
                  <w:tcW w:w="8046" w:type="dxa"/>
                  <w:gridSpan w:val="2"/>
                  <w:shd w:val="clear" w:color="auto" w:fill="FFFFFF" w:themeFill="background1"/>
                </w:tcPr>
                <w:p w:rsidR="00C51A44" w:rsidRPr="00FA33E5" w:rsidRDefault="008A7D5E" w:rsidP="00E96BA5">
                  <w:pPr>
                    <w:spacing w:before="120"/>
                    <w:jc w:val="center"/>
                    <w:rPr>
                      <w:rFonts w:cstheme="minorHAnsi"/>
                      <w:color w:val="595959" w:themeColor="text1" w:themeTint="A6"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noProof/>
                      <w:color w:val="595959" w:themeColor="text1" w:themeTint="A6"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3653C2DB" wp14:editId="466720E7">
                        <wp:extent cx="4972050" cy="274320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72050" cy="274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5" w:type="dxa"/>
                  <w:shd w:val="clear" w:color="auto" w:fill="FFFFFF" w:themeFill="background1"/>
                </w:tcPr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</w:pPr>
                  <w:r w:rsidRPr="00FA33E5">
                    <w:rPr>
                      <w:rFonts w:cstheme="minorHAnsi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Product Groups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Turnkey Flour Mill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Turnkey Semolina Mill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Turnkey Corn Mill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Turnkey Rice Mill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Turnkey Feed Mill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Pulse Cleaning and Packing Plant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Turnkey Pasta Plant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Turnkey Biscuit Mill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Grain Storage Silos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Filling, Conveying and Unloading Systems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Laboratory Equipment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Additives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Packaging Machinery and Equipment</w:t>
                  </w:r>
                </w:p>
                <w:p w:rsidR="008108D1" w:rsidRPr="00FA33E5" w:rsidRDefault="008108D1" w:rsidP="005D632A">
                  <w:pPr>
                    <w:tabs>
                      <w:tab w:val="left" w:pos="239"/>
                    </w:tabs>
                    <w:rPr>
                      <w:rFonts w:cstheme="minorHAnsi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Spare Parts and Supplier Industry</w:t>
                  </w:r>
                </w:p>
                <w:p w:rsidR="002517DE" w:rsidRPr="00FA33E5" w:rsidRDefault="008108D1" w:rsidP="005D632A">
                  <w:pPr>
                    <w:tabs>
                      <w:tab w:val="left" w:pos="239"/>
                    </w:tabs>
                    <w:spacing w:after="120"/>
                    <w:rPr>
                      <w:rFonts w:cstheme="minorHAnsi"/>
                      <w:color w:val="595959" w:themeColor="text1" w:themeTint="A6"/>
                      <w:sz w:val="20"/>
                      <w:szCs w:val="20"/>
                      <w:lang w:val="en-US"/>
                    </w:rPr>
                  </w:pPr>
                  <w:r w:rsidRPr="00FA33E5">
                    <w:rPr>
                      <w:rFonts w:cstheme="minorHAnsi"/>
                      <w:lang w:val="en-US"/>
                    </w:rPr>
                    <w:t>-</w:t>
                  </w:r>
                  <w:r w:rsidRPr="00FA33E5">
                    <w:rPr>
                      <w:rFonts w:cstheme="minorHAnsi"/>
                      <w:lang w:val="en-US"/>
                    </w:rPr>
                    <w:tab/>
                    <w:t>International Grain and Pulse Dealers</w:t>
                  </w:r>
                </w:p>
              </w:tc>
            </w:tr>
            <w:tr w:rsidR="002517DE" w:rsidRPr="00FA33E5" w:rsidTr="008108D1">
              <w:trPr>
                <w:trHeight w:val="602"/>
                <w:jc w:val="center"/>
              </w:trPr>
              <w:tc>
                <w:tcPr>
                  <w:tcW w:w="6173" w:type="dxa"/>
                  <w:shd w:val="clear" w:color="auto" w:fill="FFFFFF" w:themeFill="background1"/>
                </w:tcPr>
                <w:p w:rsidR="002517DE" w:rsidRPr="00FA33E5" w:rsidRDefault="002517DE" w:rsidP="00E96BA5">
                  <w:pPr>
                    <w:spacing w:line="360" w:lineRule="auto"/>
                    <w:rPr>
                      <w:rFonts w:cstheme="minorHAnsi"/>
                      <w:b/>
                      <w:sz w:val="48"/>
                      <w:szCs w:val="48"/>
                      <w:lang w:val="en-US"/>
                    </w:rPr>
                  </w:pPr>
                  <w:r w:rsidRPr="00FA33E5">
                    <w:rPr>
                      <w:rFonts w:cstheme="minorHAnsi"/>
                      <w:b/>
                      <w:color w:val="FF0000"/>
                      <w:sz w:val="48"/>
                      <w:szCs w:val="48"/>
                      <w:lang w:val="en-US"/>
                    </w:rPr>
                    <w:t>www.idma.com.tr</w:t>
                  </w:r>
                </w:p>
              </w:tc>
              <w:tc>
                <w:tcPr>
                  <w:tcW w:w="6278" w:type="dxa"/>
                  <w:gridSpan w:val="2"/>
                  <w:shd w:val="clear" w:color="auto" w:fill="FFFFFF" w:themeFill="background1"/>
                </w:tcPr>
                <w:p w:rsidR="002517DE" w:rsidRPr="00FA33E5" w:rsidRDefault="008A7D5E" w:rsidP="008A7D5E">
                  <w:pPr>
                    <w:spacing w:line="360" w:lineRule="auto"/>
                    <w:jc w:val="right"/>
                    <w:rPr>
                      <w:rFonts w:cstheme="minorHAnsi"/>
                      <w:b/>
                      <w:sz w:val="10"/>
                      <w:szCs w:val="10"/>
                      <w:lang w:val="en-US"/>
                    </w:rPr>
                  </w:pPr>
                  <w:r>
                    <w:rPr>
                      <w:rFonts w:cstheme="minorHAnsi"/>
                      <w:b/>
                      <w:noProof/>
                      <w:sz w:val="10"/>
                      <w:szCs w:val="10"/>
                      <w:lang w:eastAsia="tr-TR"/>
                    </w:rPr>
                    <w:drawing>
                      <wp:inline distT="0" distB="0" distL="0" distR="0" wp14:anchorId="7D66137C" wp14:editId="50066685">
                        <wp:extent cx="1466850" cy="514350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850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96BA5" w:rsidRDefault="00E96BA5" w:rsidP="00E96BA5">
            <w:pPr>
              <w:spacing w:before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1DAF0A8" wp14:editId="174F0A24">
                  <wp:extent cx="169200" cy="169200"/>
                  <wp:effectExtent l="0" t="0" r="2540" b="2540"/>
                  <wp:docPr id="5" name="Resim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ebook_ik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" cy="1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theme="minorHAnsi"/>
                <w:b/>
                <w:bCs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4E44C7E4" wp14:editId="3FB5543D">
                  <wp:extent cx="170703" cy="170703"/>
                  <wp:effectExtent l="0" t="0" r="1270" b="1270"/>
                  <wp:docPr id="6" name="Resim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_iko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03" cy="17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theme="minorHAnsi"/>
                <w:b/>
                <w:bCs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A6D7CE8" wp14:editId="455D9477">
                  <wp:extent cx="169200" cy="169200"/>
                  <wp:effectExtent l="0" t="0" r="2540" b="2540"/>
                  <wp:docPr id="7" name="Resim 7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ked_iko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" cy="1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3596" w:rsidRPr="008551E8" w:rsidRDefault="00303596" w:rsidP="005D632A">
            <w:pPr>
              <w:spacing w:before="120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8551E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Parantez</w:t>
            </w:r>
            <w:proofErr w:type="spellEnd"/>
            <w:r w:rsidRPr="008551E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="00206318" w:rsidRPr="008551E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International Fair Construction Trade </w:t>
            </w:r>
            <w:proofErr w:type="spellStart"/>
            <w:r w:rsidR="00206318" w:rsidRPr="008551E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Gmbh</w:t>
            </w:r>
            <w:proofErr w:type="spellEnd"/>
            <w:r w:rsidR="00206318" w:rsidRPr="008551E8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.</w:t>
            </w:r>
          </w:p>
          <w:p w:rsidR="002517DE" w:rsidRPr="008551E8" w:rsidRDefault="00E96BA5" w:rsidP="00E96BA5">
            <w:pPr>
              <w:jc w:val="center"/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</w:pPr>
            <w:proofErr w:type="spellStart"/>
            <w:r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Hadımköy</w:t>
            </w:r>
            <w:proofErr w:type="spellEnd"/>
            <w:r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Kavşağı</w:t>
            </w:r>
            <w:proofErr w:type="spellEnd"/>
            <w:r w:rsidR="007C318D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 xml:space="preserve">, Atatürk </w:t>
            </w:r>
            <w:proofErr w:type="spellStart"/>
            <w:r w:rsidR="007C318D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Mahallesi</w:t>
            </w:r>
            <w:proofErr w:type="spellEnd"/>
            <w:r w:rsidR="007C318D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 xml:space="preserve"> </w:t>
            </w:r>
            <w:r w:rsidR="002517DE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 xml:space="preserve">531. </w:t>
            </w:r>
            <w:proofErr w:type="spellStart"/>
            <w:r w:rsidR="002517DE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Sok</w:t>
            </w:r>
            <w:proofErr w:type="spellEnd"/>
            <w:r w:rsidR="002517DE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 xml:space="preserve">. Ginza Corner Plaza,  No:16/37 </w:t>
            </w:r>
            <w:proofErr w:type="spellStart"/>
            <w:r w:rsidR="002517DE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Kıraç</w:t>
            </w:r>
            <w:proofErr w:type="spellEnd"/>
            <w:r w:rsidR="002517DE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 xml:space="preserve"> - </w:t>
            </w:r>
            <w:proofErr w:type="spellStart"/>
            <w:r w:rsidR="002517DE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Esenyurt</w:t>
            </w:r>
            <w:proofErr w:type="spellEnd"/>
            <w:r w:rsidR="002517DE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 xml:space="preserve"> - İstanbul – T</w:t>
            </w:r>
            <w:r w:rsidR="00FA33E5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URKEY</w:t>
            </w:r>
          </w:p>
          <w:p w:rsidR="00303596" w:rsidRPr="00FA33E5" w:rsidRDefault="00303596" w:rsidP="00F41BCF">
            <w:pPr>
              <w:spacing w:after="120"/>
              <w:jc w:val="center"/>
              <w:rPr>
                <w:rFonts w:cstheme="minorHAnsi"/>
                <w:lang w:val="en-US"/>
              </w:rPr>
            </w:pPr>
            <w:r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 xml:space="preserve">Tel: </w:t>
            </w:r>
            <w:r w:rsidR="00E96BA5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+9</w:t>
            </w:r>
            <w:r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0 (212) 347 31 64</w:t>
            </w:r>
            <w:r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ab/>
              <w:t xml:space="preserve">Fax: </w:t>
            </w:r>
            <w:r w:rsidR="00E96BA5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+9</w:t>
            </w:r>
            <w:r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0 (212) 212 02 04</w:t>
            </w:r>
            <w:r w:rsidR="002E0F7B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 xml:space="preserve">       </w:t>
            </w:r>
            <w:r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info@</w:t>
            </w:r>
            <w:r w:rsidR="002517DE" w:rsidRPr="008551E8">
              <w:rPr>
                <w:rFonts w:cstheme="minorHAnsi"/>
                <w:bCs/>
                <w:color w:val="FFFFFF" w:themeColor="background1"/>
                <w:sz w:val="17"/>
                <w:szCs w:val="17"/>
                <w:lang w:val="en-US"/>
              </w:rPr>
              <w:t>idma.com.tr</w:t>
            </w:r>
          </w:p>
        </w:tc>
        <w:bookmarkStart w:id="0" w:name="_GoBack"/>
        <w:bookmarkEnd w:id="0"/>
      </w:tr>
      <w:tr w:rsidR="00C346A5" w:rsidRPr="00FA33E5" w:rsidTr="00E96BA5">
        <w:trPr>
          <w:trHeight w:val="340"/>
          <w:jc w:val="center"/>
        </w:trPr>
        <w:tc>
          <w:tcPr>
            <w:tcW w:w="10062" w:type="dxa"/>
            <w:shd w:val="clear" w:color="auto" w:fill="FFFFFF" w:themeFill="background1"/>
          </w:tcPr>
          <w:p w:rsidR="00C346A5" w:rsidRPr="00FA33E5" w:rsidRDefault="00C346A5" w:rsidP="007B2897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</w:p>
        </w:tc>
      </w:tr>
    </w:tbl>
    <w:p w:rsidR="004660F7" w:rsidRPr="00FA33E5" w:rsidRDefault="004660F7">
      <w:pPr>
        <w:rPr>
          <w:rFonts w:cstheme="minorHAnsi"/>
          <w:lang w:val="en-US"/>
        </w:rPr>
      </w:pPr>
    </w:p>
    <w:sectPr w:rsidR="004660F7" w:rsidRPr="00FA3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F7"/>
    <w:rsid w:val="00004F66"/>
    <w:rsid w:val="00032FA6"/>
    <w:rsid w:val="00037ACF"/>
    <w:rsid w:val="000472EA"/>
    <w:rsid w:val="00065840"/>
    <w:rsid w:val="000E02C8"/>
    <w:rsid w:val="000E4240"/>
    <w:rsid w:val="001343C4"/>
    <w:rsid w:val="00143AC6"/>
    <w:rsid w:val="00144F0E"/>
    <w:rsid w:val="001478A0"/>
    <w:rsid w:val="00147B18"/>
    <w:rsid w:val="001541E7"/>
    <w:rsid w:val="00154C13"/>
    <w:rsid w:val="00186C35"/>
    <w:rsid w:val="0019165B"/>
    <w:rsid w:val="001D6112"/>
    <w:rsid w:val="00206318"/>
    <w:rsid w:val="002078CC"/>
    <w:rsid w:val="0021613F"/>
    <w:rsid w:val="00222FFC"/>
    <w:rsid w:val="0023432F"/>
    <w:rsid w:val="00234C27"/>
    <w:rsid w:val="002457D7"/>
    <w:rsid w:val="002517DE"/>
    <w:rsid w:val="002546AE"/>
    <w:rsid w:val="002715AF"/>
    <w:rsid w:val="002B6ECD"/>
    <w:rsid w:val="002C27A9"/>
    <w:rsid w:val="002C4D19"/>
    <w:rsid w:val="002D15C1"/>
    <w:rsid w:val="002D3562"/>
    <w:rsid w:val="002E0F7B"/>
    <w:rsid w:val="003024E8"/>
    <w:rsid w:val="00303596"/>
    <w:rsid w:val="00304CA7"/>
    <w:rsid w:val="00332610"/>
    <w:rsid w:val="00332CF0"/>
    <w:rsid w:val="00361004"/>
    <w:rsid w:val="0037784E"/>
    <w:rsid w:val="00386CC0"/>
    <w:rsid w:val="0039082B"/>
    <w:rsid w:val="003929AA"/>
    <w:rsid w:val="003A6110"/>
    <w:rsid w:val="003C0D72"/>
    <w:rsid w:val="003D7583"/>
    <w:rsid w:val="00401635"/>
    <w:rsid w:val="004048CB"/>
    <w:rsid w:val="004374F9"/>
    <w:rsid w:val="00460029"/>
    <w:rsid w:val="004636C5"/>
    <w:rsid w:val="004660F7"/>
    <w:rsid w:val="00470E06"/>
    <w:rsid w:val="00471437"/>
    <w:rsid w:val="00472908"/>
    <w:rsid w:val="00474A80"/>
    <w:rsid w:val="004A76D5"/>
    <w:rsid w:val="004D5D40"/>
    <w:rsid w:val="0055243D"/>
    <w:rsid w:val="00587493"/>
    <w:rsid w:val="00597EDD"/>
    <w:rsid w:val="005A755A"/>
    <w:rsid w:val="005B237B"/>
    <w:rsid w:val="005D632A"/>
    <w:rsid w:val="005E5E7F"/>
    <w:rsid w:val="00607D72"/>
    <w:rsid w:val="00675646"/>
    <w:rsid w:val="00685573"/>
    <w:rsid w:val="006E0135"/>
    <w:rsid w:val="006F2838"/>
    <w:rsid w:val="00717469"/>
    <w:rsid w:val="00753648"/>
    <w:rsid w:val="00753ED3"/>
    <w:rsid w:val="00762A4F"/>
    <w:rsid w:val="007865F4"/>
    <w:rsid w:val="007A68D1"/>
    <w:rsid w:val="007B2897"/>
    <w:rsid w:val="007C318D"/>
    <w:rsid w:val="007C3E68"/>
    <w:rsid w:val="007E19F8"/>
    <w:rsid w:val="007E2E08"/>
    <w:rsid w:val="008108D1"/>
    <w:rsid w:val="00814792"/>
    <w:rsid w:val="00823D41"/>
    <w:rsid w:val="008551E8"/>
    <w:rsid w:val="008647D4"/>
    <w:rsid w:val="008746D5"/>
    <w:rsid w:val="008933F3"/>
    <w:rsid w:val="008A7D5E"/>
    <w:rsid w:val="008B4D4B"/>
    <w:rsid w:val="008D1E0B"/>
    <w:rsid w:val="0092733D"/>
    <w:rsid w:val="0093105C"/>
    <w:rsid w:val="00937EC5"/>
    <w:rsid w:val="00983A29"/>
    <w:rsid w:val="00990FFA"/>
    <w:rsid w:val="00996D72"/>
    <w:rsid w:val="0099724A"/>
    <w:rsid w:val="009D1679"/>
    <w:rsid w:val="009E1EE6"/>
    <w:rsid w:val="009F57CF"/>
    <w:rsid w:val="009F6943"/>
    <w:rsid w:val="00A006F3"/>
    <w:rsid w:val="00A354FE"/>
    <w:rsid w:val="00A438D7"/>
    <w:rsid w:val="00A4427E"/>
    <w:rsid w:val="00AA647D"/>
    <w:rsid w:val="00AB6608"/>
    <w:rsid w:val="00AE114D"/>
    <w:rsid w:val="00AE3074"/>
    <w:rsid w:val="00B039B2"/>
    <w:rsid w:val="00B21A01"/>
    <w:rsid w:val="00B55326"/>
    <w:rsid w:val="00B6046F"/>
    <w:rsid w:val="00B60B02"/>
    <w:rsid w:val="00B65A95"/>
    <w:rsid w:val="00B943D9"/>
    <w:rsid w:val="00B97634"/>
    <w:rsid w:val="00BC043A"/>
    <w:rsid w:val="00C16D33"/>
    <w:rsid w:val="00C203AC"/>
    <w:rsid w:val="00C210CA"/>
    <w:rsid w:val="00C346A5"/>
    <w:rsid w:val="00C40107"/>
    <w:rsid w:val="00C51A44"/>
    <w:rsid w:val="00C87809"/>
    <w:rsid w:val="00CB7A62"/>
    <w:rsid w:val="00CC1028"/>
    <w:rsid w:val="00CD5865"/>
    <w:rsid w:val="00CE35CB"/>
    <w:rsid w:val="00D04893"/>
    <w:rsid w:val="00D062DE"/>
    <w:rsid w:val="00D110F9"/>
    <w:rsid w:val="00D13876"/>
    <w:rsid w:val="00D20E2A"/>
    <w:rsid w:val="00D43532"/>
    <w:rsid w:val="00D520AE"/>
    <w:rsid w:val="00D6731B"/>
    <w:rsid w:val="00D76DED"/>
    <w:rsid w:val="00D9652A"/>
    <w:rsid w:val="00DC0200"/>
    <w:rsid w:val="00DD1012"/>
    <w:rsid w:val="00E102D4"/>
    <w:rsid w:val="00E148E6"/>
    <w:rsid w:val="00E27FD2"/>
    <w:rsid w:val="00E84D8D"/>
    <w:rsid w:val="00E857F7"/>
    <w:rsid w:val="00E96BA5"/>
    <w:rsid w:val="00EA2F78"/>
    <w:rsid w:val="00EC1786"/>
    <w:rsid w:val="00EF7669"/>
    <w:rsid w:val="00F00231"/>
    <w:rsid w:val="00F128E5"/>
    <w:rsid w:val="00F14AC0"/>
    <w:rsid w:val="00F16544"/>
    <w:rsid w:val="00F24402"/>
    <w:rsid w:val="00F41BCF"/>
    <w:rsid w:val="00FA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5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5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85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5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57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857F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857F7"/>
    <w:rPr>
      <w:color w:val="800080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8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85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85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857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857F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5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5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85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5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57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857F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857F7"/>
    <w:rPr>
      <w:color w:val="800080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8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85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85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857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857F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www.linkedin.com/pub/idma-exhibition/77/86a/a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twitter.com/idmaexhibition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dmaexhibition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Editör</dc:creator>
  <cp:lastModifiedBy>Editör</cp:lastModifiedBy>
  <cp:revision>9</cp:revision>
  <dcterms:created xsi:type="dcterms:W3CDTF">2013-07-18T13:20:00Z</dcterms:created>
  <dcterms:modified xsi:type="dcterms:W3CDTF">2013-09-12T08:36:00Z</dcterms:modified>
</cp:coreProperties>
</file>